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6C339">
      <w:pPr>
        <w:spacing w:line="600" w:lineRule="exact"/>
        <w:jc w:val="center"/>
        <w:rPr>
          <w:rFonts w:eastAsia="方正小标宋_GBK"/>
          <w:sz w:val="44"/>
          <w:szCs w:val="24"/>
        </w:rPr>
      </w:pPr>
    </w:p>
    <w:p w14:paraId="33998830">
      <w:pPr>
        <w:spacing w:line="600" w:lineRule="exact"/>
        <w:jc w:val="center"/>
        <w:rPr>
          <w:rFonts w:eastAsia="方正小标宋_GBK"/>
          <w:sz w:val="44"/>
          <w:szCs w:val="24"/>
        </w:rPr>
      </w:pPr>
      <w:r>
        <w:rPr>
          <w:rFonts w:eastAsia="方正小标宋_GBK"/>
          <w:sz w:val="44"/>
          <w:szCs w:val="24"/>
        </w:rPr>
        <w:t>曲靖经济技术开发区国民经济和社会发展第十四个五年规划和二〇三五年远景目标纲要</w:t>
      </w:r>
    </w:p>
    <w:p w14:paraId="66F98E21">
      <w:pPr>
        <w:pStyle w:val="2"/>
        <w:spacing w:before="50" w:after="50"/>
        <w:rPr>
          <w:rFonts w:ascii="Times New Roman" w:hAnsi="Times New Roman"/>
        </w:rPr>
      </w:pPr>
    </w:p>
    <w:p w14:paraId="56DD99EA">
      <w:pPr>
        <w:pStyle w:val="2"/>
        <w:spacing w:before="50" w:after="50"/>
        <w:rPr>
          <w:rFonts w:ascii="Times New Roman" w:hAnsi="Times New Roman"/>
        </w:rPr>
      </w:pPr>
    </w:p>
    <w:p w14:paraId="6C08A238">
      <w:pPr>
        <w:pStyle w:val="2"/>
        <w:spacing w:before="50" w:after="50"/>
        <w:rPr>
          <w:rFonts w:ascii="Times New Roman" w:hAnsi="Times New Roman"/>
        </w:rPr>
      </w:pPr>
    </w:p>
    <w:p w14:paraId="7514F22A">
      <w:pPr>
        <w:pStyle w:val="2"/>
        <w:spacing w:before="50" w:after="50"/>
        <w:rPr>
          <w:rFonts w:ascii="Times New Roman" w:hAnsi="Times New Roman"/>
        </w:rPr>
      </w:pPr>
    </w:p>
    <w:p w14:paraId="302674DD">
      <w:pPr>
        <w:pStyle w:val="2"/>
        <w:spacing w:before="50" w:after="50"/>
        <w:rPr>
          <w:rFonts w:ascii="Times New Roman" w:hAnsi="Times New Roman"/>
        </w:rPr>
      </w:pPr>
    </w:p>
    <w:p w14:paraId="36831723">
      <w:pPr>
        <w:pStyle w:val="2"/>
        <w:spacing w:before="50" w:after="50"/>
        <w:rPr>
          <w:rFonts w:ascii="Times New Roman" w:hAnsi="Times New Roman"/>
        </w:rPr>
      </w:pPr>
    </w:p>
    <w:p w14:paraId="235A48D3">
      <w:pPr>
        <w:pStyle w:val="2"/>
        <w:spacing w:before="50" w:after="50"/>
        <w:rPr>
          <w:rFonts w:ascii="Times New Roman" w:hAnsi="Times New Roman"/>
        </w:rPr>
      </w:pPr>
    </w:p>
    <w:p w14:paraId="0E6C47D4">
      <w:pPr>
        <w:pStyle w:val="2"/>
        <w:spacing w:before="50" w:after="50"/>
        <w:rPr>
          <w:rFonts w:ascii="Times New Roman" w:hAnsi="Times New Roman"/>
        </w:rPr>
      </w:pPr>
    </w:p>
    <w:p w14:paraId="2838FC6D">
      <w:pPr>
        <w:pStyle w:val="2"/>
        <w:spacing w:before="50" w:after="50"/>
        <w:rPr>
          <w:rFonts w:ascii="Times New Roman" w:hAnsi="Times New Roman"/>
        </w:rPr>
      </w:pPr>
    </w:p>
    <w:p w14:paraId="04014C09">
      <w:pPr>
        <w:pStyle w:val="2"/>
        <w:spacing w:before="50" w:after="50"/>
        <w:rPr>
          <w:rFonts w:ascii="Times New Roman" w:hAnsi="Times New Roman"/>
        </w:rPr>
      </w:pPr>
    </w:p>
    <w:p w14:paraId="1021B8AA">
      <w:pPr>
        <w:pStyle w:val="2"/>
        <w:spacing w:before="50" w:after="50"/>
        <w:rPr>
          <w:rFonts w:ascii="Times New Roman" w:hAnsi="Times New Roman"/>
        </w:rPr>
      </w:pPr>
    </w:p>
    <w:p w14:paraId="7B7EE2C9">
      <w:pPr>
        <w:pStyle w:val="2"/>
        <w:spacing w:before="50" w:after="50"/>
        <w:jc w:val="center"/>
        <w:rPr>
          <w:rFonts w:ascii="方正楷体_GBK" w:hAnsi="Times New Roman" w:eastAsia="方正楷体_GBK"/>
          <w:sz w:val="32"/>
        </w:rPr>
      </w:pPr>
      <w:r>
        <w:rPr>
          <w:rFonts w:hint="eastAsia" w:ascii="方正楷体_GBK" w:hAnsi="Times New Roman" w:eastAsia="方正楷体_GBK"/>
          <w:sz w:val="32"/>
        </w:rPr>
        <w:t>曲靖经济技术开发区管理委员会  编著</w:t>
      </w:r>
    </w:p>
    <w:p w14:paraId="755E9B03">
      <w:pPr>
        <w:pStyle w:val="2"/>
        <w:spacing w:before="50" w:after="50"/>
        <w:rPr>
          <w:rFonts w:ascii="Times New Roman" w:hAnsi="Times New Roman"/>
        </w:rPr>
      </w:pPr>
    </w:p>
    <w:p w14:paraId="25559896">
      <w:pPr>
        <w:pStyle w:val="2"/>
        <w:spacing w:before="50" w:after="50"/>
        <w:rPr>
          <w:rFonts w:ascii="Times New Roman" w:hAnsi="Times New Roman"/>
        </w:rPr>
      </w:pPr>
    </w:p>
    <w:p w14:paraId="4DB4255B">
      <w:pPr>
        <w:pStyle w:val="2"/>
        <w:spacing w:before="50" w:after="50"/>
        <w:jc w:val="center"/>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titlePg/>
          <w:docGrid w:type="lines" w:linePitch="312" w:charSpace="0"/>
        </w:sectPr>
      </w:pPr>
    </w:p>
    <w:p w14:paraId="480853BC">
      <w:pPr>
        <w:jc w:val="center"/>
        <w:rPr>
          <w:rFonts w:ascii="方正小标宋_GBK" w:hAnsi="黑体" w:eastAsia="方正小标宋_GBK"/>
          <w:sz w:val="32"/>
          <w:szCs w:val="32"/>
          <w:lang w:val="zh-CN"/>
        </w:rPr>
      </w:pPr>
      <w:r>
        <w:rPr>
          <w:rFonts w:hint="eastAsia" w:ascii="方正小标宋_GBK" w:hAnsi="黑体" w:eastAsia="方正小标宋_GBK"/>
          <w:sz w:val="32"/>
          <w:szCs w:val="32"/>
          <w:lang w:val="zh-CN"/>
        </w:rPr>
        <w:t>《曲靖经济技术开发区国民经济和社会发展第十四个五年规划和二〇三五年远景目标纲要》</w:t>
      </w:r>
    </w:p>
    <w:p w14:paraId="62A67E01">
      <w:pPr>
        <w:jc w:val="center"/>
        <w:rPr>
          <w:rFonts w:ascii="方正小标宋_GBK" w:hAnsi="黑体" w:eastAsia="方正小标宋_GBK"/>
          <w:sz w:val="32"/>
          <w:szCs w:val="32"/>
        </w:rPr>
      </w:pPr>
      <w:r>
        <w:rPr>
          <w:rFonts w:hint="eastAsia" w:ascii="方正小标宋_GBK" w:hAnsi="黑体" w:eastAsia="方正小标宋_GBK"/>
          <w:sz w:val="32"/>
          <w:szCs w:val="32"/>
          <w:lang w:val="zh-CN"/>
        </w:rPr>
        <w:t>目  录</w:t>
      </w:r>
    </w:p>
    <w:p w14:paraId="00BE461C">
      <w:pPr>
        <w:pStyle w:val="11"/>
        <w:tabs>
          <w:tab w:val="right" w:leader="dot" w:pos="8296"/>
        </w:tabs>
        <w:rPr>
          <w:rFonts w:ascii="Times New Roman" w:hAnsi="Times New Roman" w:eastAsia="方正楷体_GBK"/>
          <w:kern w:val="2"/>
          <w:sz w:val="30"/>
          <w:szCs w:val="30"/>
        </w:rPr>
      </w:pPr>
      <w:r>
        <w:rPr>
          <w:rFonts w:ascii="Times New Roman" w:hAnsi="Times New Roman" w:eastAsia="仿宋_GB2312"/>
          <w:b/>
          <w:sz w:val="30"/>
          <w:szCs w:val="30"/>
        </w:rPr>
        <w:fldChar w:fldCharType="begin"/>
      </w:r>
      <w:r>
        <w:rPr>
          <w:rFonts w:ascii="Times New Roman" w:hAnsi="Times New Roman" w:eastAsia="仿宋_GB2312"/>
          <w:b/>
          <w:sz w:val="30"/>
          <w:szCs w:val="30"/>
        </w:rPr>
        <w:instrText xml:space="preserve"> TOC \o "1-3" \h \z \u </w:instrText>
      </w:r>
      <w:r>
        <w:rPr>
          <w:rFonts w:ascii="Times New Roman" w:hAnsi="Times New Roman" w:eastAsia="仿宋_GB2312"/>
          <w:b/>
          <w:sz w:val="30"/>
          <w:szCs w:val="30"/>
        </w:rPr>
        <w:fldChar w:fldCharType="separate"/>
      </w:r>
      <w:r>
        <w:fldChar w:fldCharType="begin"/>
      </w:r>
      <w:r>
        <w:instrText xml:space="preserve"> HYPERLINK \l "_Toc81570091" </w:instrText>
      </w:r>
      <w:r>
        <w:fldChar w:fldCharType="separate"/>
      </w:r>
      <w:r>
        <w:rPr>
          <w:rStyle w:val="17"/>
          <w:rFonts w:hint="eastAsia" w:ascii="方正黑体_GBK" w:hAnsi="Times New Roman" w:eastAsia="方正黑体_GBK"/>
          <w:sz w:val="30"/>
          <w:szCs w:val="30"/>
        </w:rPr>
        <w:t>第一章  发展基础</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_Toc81570091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45821F5D">
      <w:pPr>
        <w:pStyle w:val="11"/>
        <w:tabs>
          <w:tab w:val="right" w:leader="dot" w:pos="8296"/>
        </w:tabs>
        <w:rPr>
          <w:rFonts w:ascii="Times New Roman" w:hAnsi="Times New Roman" w:eastAsia="方正楷体_GBK"/>
          <w:kern w:val="2"/>
          <w:sz w:val="30"/>
          <w:szCs w:val="30"/>
        </w:rPr>
      </w:pPr>
      <w:r>
        <w:fldChar w:fldCharType="begin"/>
      </w:r>
      <w:r>
        <w:instrText xml:space="preserve"> HYPERLINK \l "_Toc81570092" </w:instrText>
      </w:r>
      <w:r>
        <w:fldChar w:fldCharType="separate"/>
      </w:r>
      <w:r>
        <w:rPr>
          <w:rStyle w:val="17"/>
          <w:rFonts w:hint="eastAsia" w:ascii="方正黑体_GBK" w:hAnsi="Times New Roman" w:eastAsia="方正黑体_GBK"/>
          <w:sz w:val="30"/>
          <w:szCs w:val="30"/>
        </w:rPr>
        <w:t>第二章  发展形势</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_Toc81570092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- 5 -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2DFE21F2">
      <w:pPr>
        <w:pStyle w:val="11"/>
        <w:tabs>
          <w:tab w:val="right" w:leader="dot" w:pos="8296"/>
        </w:tabs>
        <w:rPr>
          <w:rFonts w:ascii="Times New Roman" w:hAnsi="Times New Roman" w:eastAsia="方正楷体_GBK"/>
          <w:kern w:val="2"/>
          <w:sz w:val="30"/>
          <w:szCs w:val="30"/>
        </w:rPr>
      </w:pPr>
      <w:r>
        <w:fldChar w:fldCharType="begin"/>
      </w:r>
      <w:r>
        <w:instrText xml:space="preserve"> HYPERLINK \l "_Toc81570093" </w:instrText>
      </w:r>
      <w:r>
        <w:fldChar w:fldCharType="separate"/>
      </w:r>
      <w:r>
        <w:rPr>
          <w:rStyle w:val="17"/>
          <w:rFonts w:hint="eastAsia" w:ascii="方正黑体_GBK" w:hAnsi="Times New Roman" w:eastAsia="方正黑体_GBK"/>
          <w:sz w:val="30"/>
          <w:szCs w:val="30"/>
        </w:rPr>
        <w:t>第三章  总体思路</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_Toc81570093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- 8 -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185AA94D">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"_Toc81570094" </w:instrText>
      </w:r>
      <w:r>
        <w:fldChar w:fldCharType="separate"/>
      </w:r>
      <w:r>
        <w:rPr>
          <w:rStyle w:val="17"/>
          <w:rFonts w:ascii="Times New Roman" w:hAnsi="Times New Roman" w:eastAsia="方正楷体_GBK"/>
          <w:bCs/>
          <w:sz w:val="30"/>
          <w:szCs w:val="30"/>
        </w:rPr>
        <w:t>第一节  指导思想</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_Toc81570094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- 8 -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341E6B92">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"_Toc81570095" </w:instrText>
      </w:r>
      <w:r>
        <w:fldChar w:fldCharType="separate"/>
      </w:r>
      <w:r>
        <w:rPr>
          <w:rStyle w:val="17"/>
          <w:rFonts w:ascii="Times New Roman" w:hAnsi="Times New Roman" w:eastAsia="方正楷体_GBK"/>
          <w:bCs/>
          <w:sz w:val="30"/>
          <w:szCs w:val="30"/>
        </w:rPr>
        <w:t>第二节  基本原则</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_Toc81570095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- 8 -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1AE5939A">
      <w:pPr>
        <w:pStyle w:val="11"/>
        <w:tabs>
          <w:tab w:val="right" w:leader="dot" w:pos="8296"/>
        </w:tabs>
        <w:rPr>
          <w:rFonts w:ascii="Times New Roman" w:hAnsi="Times New Roman" w:eastAsia="方正楷体_GBK"/>
          <w:kern w:val="2"/>
          <w:sz w:val="30"/>
          <w:szCs w:val="30"/>
        </w:rPr>
      </w:pPr>
      <w:r>
        <w:fldChar w:fldCharType="begin"/>
      </w:r>
      <w:r>
        <w:instrText xml:space="preserve"> HYPERLINK \l "_Toc81570096" </w:instrText>
      </w:r>
      <w:r>
        <w:fldChar w:fldCharType="separate"/>
      </w:r>
      <w:r>
        <w:rPr>
          <w:rStyle w:val="17"/>
          <w:rFonts w:hint="eastAsia" w:ascii="方正黑体_GBK" w:hAnsi="Times New Roman" w:eastAsia="方正黑体_GBK"/>
          <w:sz w:val="30"/>
          <w:szCs w:val="30"/>
        </w:rPr>
        <w:t>第四章 发展目标</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_Toc81570096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- 11 -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267A67A9">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"_Toc81570097" </w:instrText>
      </w:r>
      <w:r>
        <w:fldChar w:fldCharType="separate"/>
      </w:r>
      <w:r>
        <w:rPr>
          <w:rStyle w:val="17"/>
          <w:rFonts w:ascii="Times New Roman" w:hAnsi="Times New Roman" w:eastAsia="方正楷体_GBK"/>
          <w:bCs/>
          <w:sz w:val="30"/>
          <w:szCs w:val="30"/>
        </w:rPr>
        <w:t>第一节  “十四五”期间发展目标</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_Toc81570097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- 11 -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576B9494">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"_Toc81570098" </w:instrText>
      </w:r>
      <w:r>
        <w:fldChar w:fldCharType="separate"/>
      </w:r>
      <w:r>
        <w:rPr>
          <w:rStyle w:val="17"/>
          <w:rFonts w:ascii="Times New Roman" w:hAnsi="Times New Roman" w:eastAsia="方正楷体_GBK"/>
          <w:bCs/>
          <w:sz w:val="30"/>
          <w:szCs w:val="30"/>
        </w:rPr>
        <w:t xml:space="preserve">第二节  </w:t>
      </w:r>
      <w:bookmarkStart w:id="321" w:name="_GoBack"/>
      <w:bookmarkEnd w:id="321"/>
      <w:r>
        <w:rPr>
          <w:rStyle w:val="17"/>
          <w:rFonts w:hint="eastAsia" w:ascii="Times New Roman" w:hAnsi="Times New Roman" w:eastAsia="方正楷体_GBK"/>
          <w:bCs/>
          <w:sz w:val="30"/>
          <w:szCs w:val="30"/>
          <w:lang w:eastAsia="zh-CN"/>
        </w:rPr>
        <w:t>二〇三五年远景目标</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_Toc81570098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- 14 -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16CBC8E8">
      <w:pPr>
        <w:pStyle w:val="11"/>
        <w:tabs>
          <w:tab w:val="right" w:leader="dot" w:pos="8296"/>
        </w:tabs>
        <w:rPr>
          <w:rFonts w:ascii="Times New Roman" w:hAnsi="Times New Roman" w:eastAsia="方正楷体_GBK"/>
          <w:kern w:val="2"/>
          <w:sz w:val="30"/>
          <w:szCs w:val="30"/>
        </w:rPr>
      </w:pPr>
      <w:r>
        <w:fldChar w:fldCharType="begin"/>
      </w:r>
      <w:r>
        <w:instrText xml:space="preserve"> HYPERLINK \l "_Toc81570099" </w:instrText>
      </w:r>
      <w:r>
        <w:fldChar w:fldCharType="separate"/>
      </w:r>
      <w:r>
        <w:rPr>
          <w:rStyle w:val="17"/>
          <w:rFonts w:hint="eastAsia" w:ascii="方正黑体_GBK" w:hAnsi="Times New Roman" w:eastAsia="方正黑体_GBK"/>
          <w:sz w:val="30"/>
          <w:szCs w:val="30"/>
        </w:rPr>
        <w:t>第五章  坚持科技创新驱动发展</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_Toc81570099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- 15 -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7FBA8C40">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"_Toc81570100" </w:instrText>
      </w:r>
      <w:r>
        <w:fldChar w:fldCharType="separate"/>
      </w:r>
      <w:r>
        <w:rPr>
          <w:rStyle w:val="17"/>
          <w:rFonts w:ascii="Times New Roman" w:hAnsi="Times New Roman" w:eastAsia="方正楷体_GBK"/>
          <w:bCs/>
          <w:sz w:val="30"/>
          <w:szCs w:val="30"/>
        </w:rPr>
        <w:t>第一节  明确技术创新发展方向</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_Toc81570100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- 15 -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6CF415EF">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"_Toc81570101" </w:instrText>
      </w:r>
      <w:r>
        <w:fldChar w:fldCharType="separate"/>
      </w:r>
      <w:r>
        <w:rPr>
          <w:rStyle w:val="17"/>
          <w:rFonts w:ascii="Times New Roman" w:hAnsi="Times New Roman" w:eastAsia="方正楷体_GBK"/>
          <w:bCs/>
          <w:sz w:val="30"/>
          <w:szCs w:val="30"/>
        </w:rPr>
        <w:t>第二节  强化企业创新主体地位</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_Toc81570101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- 15 -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4598D900">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"_Toc81570102" </w:instrText>
      </w:r>
      <w:r>
        <w:fldChar w:fldCharType="separate"/>
      </w:r>
      <w:r>
        <w:rPr>
          <w:rStyle w:val="17"/>
          <w:rFonts w:ascii="Times New Roman" w:hAnsi="Times New Roman" w:eastAsia="方正楷体_GBK"/>
          <w:bCs/>
          <w:sz w:val="30"/>
          <w:szCs w:val="30"/>
        </w:rPr>
        <w:t>第三节  推进创新平台载体建设</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_Toc81570102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- 16 -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6FE88AC4">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"_Toc81570103" </w:instrText>
      </w:r>
      <w:r>
        <w:fldChar w:fldCharType="separate"/>
      </w:r>
      <w:r>
        <w:rPr>
          <w:rStyle w:val="17"/>
          <w:rFonts w:ascii="Times New Roman" w:hAnsi="Times New Roman" w:eastAsia="方正楷体_GBK"/>
          <w:bCs/>
          <w:sz w:val="30"/>
          <w:szCs w:val="30"/>
        </w:rPr>
        <w:t>第四节  激发科技人才创新活力</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_Toc81570103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- 18 -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0793BFC6">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"_Toc81570104" </w:instrText>
      </w:r>
      <w:r>
        <w:fldChar w:fldCharType="separate"/>
      </w:r>
      <w:r>
        <w:rPr>
          <w:rStyle w:val="17"/>
          <w:rFonts w:ascii="Times New Roman" w:hAnsi="Times New Roman" w:eastAsia="方正楷体_GBK"/>
          <w:bCs/>
          <w:sz w:val="30"/>
          <w:szCs w:val="30"/>
        </w:rPr>
        <w:t>第五节  完善技术创新体制机制</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_Toc81570104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- 19 -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120DBBDA">
      <w:pPr>
        <w:pStyle w:val="11"/>
        <w:tabs>
          <w:tab w:val="right" w:leader="dot" w:pos="8296"/>
        </w:tabs>
        <w:rPr>
          <w:rFonts w:ascii="Times New Roman" w:hAnsi="Times New Roman" w:eastAsia="方正楷体_GBK"/>
          <w:kern w:val="2"/>
          <w:sz w:val="30"/>
          <w:szCs w:val="30"/>
        </w:rPr>
      </w:pPr>
      <w:r>
        <w:fldChar w:fldCharType="begin"/>
      </w:r>
      <w:r>
        <w:instrText xml:space="preserve"> HYPERLINK \l "_Toc81570105" </w:instrText>
      </w:r>
      <w:r>
        <w:fldChar w:fldCharType="separate"/>
      </w:r>
      <w:r>
        <w:rPr>
          <w:rStyle w:val="17"/>
          <w:rFonts w:hint="eastAsia" w:ascii="方正黑体_GBK" w:hAnsi="Times New Roman" w:eastAsia="方正黑体_GBK"/>
          <w:sz w:val="30"/>
          <w:szCs w:val="30"/>
        </w:rPr>
        <w:t>第六章  加快构建现代产业体系</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_Toc81570105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- 21 -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4404D15B">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"_Toc81570106" </w:instrText>
      </w:r>
      <w:r>
        <w:fldChar w:fldCharType="separate"/>
      </w:r>
      <w:r>
        <w:rPr>
          <w:rStyle w:val="17"/>
          <w:rFonts w:ascii="Times New Roman" w:hAnsi="Times New Roman" w:eastAsia="方正楷体_GBK"/>
          <w:bCs/>
          <w:sz w:val="30"/>
          <w:szCs w:val="30"/>
        </w:rPr>
        <w:t>第一节  延伸特色主导产业链条</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_Toc81570106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- 21 -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2F36A14B">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"_Toc81570107" </w:instrText>
      </w:r>
      <w:r>
        <w:fldChar w:fldCharType="separate"/>
      </w:r>
      <w:r>
        <w:rPr>
          <w:rStyle w:val="17"/>
          <w:rFonts w:ascii="Times New Roman" w:hAnsi="Times New Roman" w:eastAsia="方正楷体_GBK"/>
          <w:bCs/>
          <w:sz w:val="30"/>
          <w:szCs w:val="30"/>
        </w:rPr>
        <w:t>第二节  推进产业结构优化升级</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_Toc81570107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- 25 -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3199F798">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"_Toc81570108" </w:instrText>
      </w:r>
      <w:r>
        <w:fldChar w:fldCharType="separate"/>
      </w:r>
      <w:r>
        <w:rPr>
          <w:rStyle w:val="17"/>
          <w:rFonts w:ascii="Times New Roman" w:hAnsi="Times New Roman" w:eastAsia="方正楷体_GBK"/>
          <w:bCs/>
          <w:sz w:val="30"/>
          <w:szCs w:val="30"/>
        </w:rPr>
        <w:t>第三节  加快经开区数字化赋能</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_Toc81570108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- 29 -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7D89893E">
      <w:pPr>
        <w:pStyle w:val="11"/>
        <w:tabs>
          <w:tab w:val="right" w:leader="dot" w:pos="8296"/>
        </w:tabs>
        <w:rPr>
          <w:rFonts w:ascii="Times New Roman" w:hAnsi="Times New Roman" w:eastAsia="方正黑体_GBK"/>
          <w:kern w:val="2"/>
          <w:sz w:val="30"/>
          <w:szCs w:val="30"/>
        </w:rPr>
      </w:pPr>
      <w:r>
        <w:fldChar w:fldCharType="begin"/>
      </w:r>
      <w:r>
        <w:instrText xml:space="preserve"> HYPERLINK \l "_Toc81570109" </w:instrText>
      </w:r>
      <w:r>
        <w:fldChar w:fldCharType="separate"/>
      </w:r>
      <w:r>
        <w:rPr>
          <w:rStyle w:val="17"/>
          <w:rFonts w:ascii="Times New Roman" w:hAnsi="Times New Roman" w:eastAsia="方正黑体_GBK"/>
          <w:sz w:val="30"/>
          <w:szCs w:val="30"/>
        </w:rPr>
        <w:t>第七章  提升对内对外开放水平</w:t>
      </w:r>
      <w:r>
        <w:rPr>
          <w:rFonts w:ascii="Times New Roman" w:hAnsi="Times New Roman" w:eastAsia="方正黑体_GBK"/>
          <w:sz w:val="30"/>
          <w:szCs w:val="30"/>
        </w:rPr>
        <w:tab/>
      </w:r>
      <w:r>
        <w:rPr>
          <w:rFonts w:ascii="Times New Roman" w:hAnsi="Times New Roman" w:eastAsia="方正黑体_GBK"/>
          <w:sz w:val="30"/>
          <w:szCs w:val="30"/>
        </w:rPr>
        <w:fldChar w:fldCharType="begin"/>
      </w:r>
      <w:r>
        <w:rPr>
          <w:rFonts w:ascii="Times New Roman" w:hAnsi="Times New Roman" w:eastAsia="方正黑体_GBK"/>
          <w:sz w:val="30"/>
          <w:szCs w:val="30"/>
        </w:rPr>
        <w:instrText xml:space="preserve"> PAGEREF _Toc81570109 \h </w:instrText>
      </w:r>
      <w:r>
        <w:rPr>
          <w:rFonts w:ascii="Times New Roman" w:hAnsi="Times New Roman" w:eastAsia="方正黑体_GBK"/>
          <w:sz w:val="30"/>
          <w:szCs w:val="30"/>
        </w:rPr>
        <w:fldChar w:fldCharType="separate"/>
      </w:r>
      <w:r>
        <w:rPr>
          <w:rFonts w:ascii="Times New Roman" w:hAnsi="Times New Roman" w:eastAsia="方正黑体_GBK"/>
          <w:sz w:val="30"/>
          <w:szCs w:val="30"/>
        </w:rPr>
        <w:t>- 31 -</w:t>
      </w:r>
      <w:r>
        <w:rPr>
          <w:rFonts w:ascii="Times New Roman" w:hAnsi="Times New Roman" w:eastAsia="方正黑体_GBK"/>
          <w:sz w:val="30"/>
          <w:szCs w:val="30"/>
        </w:rPr>
        <w:fldChar w:fldCharType="end"/>
      </w:r>
      <w:r>
        <w:rPr>
          <w:rFonts w:ascii="Times New Roman" w:hAnsi="Times New Roman" w:eastAsia="方正黑体_GBK"/>
          <w:sz w:val="30"/>
          <w:szCs w:val="30"/>
        </w:rPr>
        <w:fldChar w:fldCharType="end"/>
      </w:r>
    </w:p>
    <w:p w14:paraId="0A64F053">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"_Toc81570110" </w:instrText>
      </w:r>
      <w:r>
        <w:fldChar w:fldCharType="separate"/>
      </w:r>
      <w:r>
        <w:rPr>
          <w:rStyle w:val="17"/>
          <w:rFonts w:ascii="Times New Roman" w:hAnsi="Times New Roman" w:eastAsia="方正楷体_GBK"/>
          <w:bCs/>
          <w:sz w:val="30"/>
          <w:szCs w:val="30"/>
        </w:rPr>
        <w:t>第一节  主动融入国内大循环</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_Toc81570110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- 31 -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43B97FF4">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"_Toc81570111" </w:instrText>
      </w:r>
      <w:r>
        <w:fldChar w:fldCharType="separate"/>
      </w:r>
      <w:r>
        <w:rPr>
          <w:rStyle w:val="17"/>
          <w:rFonts w:ascii="Times New Roman" w:hAnsi="Times New Roman" w:eastAsia="方正楷体_GBK"/>
          <w:bCs/>
          <w:sz w:val="30"/>
          <w:szCs w:val="30"/>
        </w:rPr>
        <w:t>第二节  推动外贸高质量发展</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_Toc81570111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- 32 -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5DB11166">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"_Toc81570112" </w:instrText>
      </w:r>
      <w:r>
        <w:fldChar w:fldCharType="separate"/>
      </w:r>
      <w:r>
        <w:rPr>
          <w:rStyle w:val="17"/>
          <w:rFonts w:ascii="Times New Roman" w:hAnsi="Times New Roman" w:eastAsia="方正楷体_GBK"/>
          <w:bCs/>
          <w:sz w:val="30"/>
          <w:szCs w:val="30"/>
        </w:rPr>
        <w:t>第三节  提高国际双向投资水平</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_Toc81570112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- 33 -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6B87B047">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"_Toc81570113" </w:instrText>
      </w:r>
      <w:r>
        <w:fldChar w:fldCharType="separate"/>
      </w:r>
      <w:r>
        <w:rPr>
          <w:rStyle w:val="17"/>
          <w:rFonts w:ascii="Times New Roman" w:hAnsi="Times New Roman" w:eastAsia="方正楷体_GBK"/>
          <w:bCs/>
          <w:sz w:val="30"/>
          <w:szCs w:val="30"/>
        </w:rPr>
        <w:t>第四节  打造对外开放平台载体</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_Toc81570113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- 34 -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06A73068">
      <w:pPr>
        <w:pStyle w:val="11"/>
        <w:tabs>
          <w:tab w:val="right" w:leader="dot" w:pos="8296"/>
        </w:tabs>
        <w:rPr>
          <w:rFonts w:ascii="Times New Roman" w:hAnsi="Times New Roman" w:eastAsia="方正黑体_GBK"/>
          <w:kern w:val="2"/>
          <w:sz w:val="30"/>
          <w:szCs w:val="30"/>
        </w:rPr>
      </w:pPr>
      <w:r>
        <w:fldChar w:fldCharType="begin"/>
      </w:r>
      <w:r>
        <w:instrText xml:space="preserve"> HYPERLINK \l "_Toc81570114" </w:instrText>
      </w:r>
      <w:r>
        <w:fldChar w:fldCharType="separate"/>
      </w:r>
      <w:r>
        <w:rPr>
          <w:rStyle w:val="17"/>
          <w:rFonts w:ascii="Times New Roman" w:hAnsi="Times New Roman" w:eastAsia="方正黑体_GBK"/>
          <w:sz w:val="30"/>
          <w:szCs w:val="30"/>
        </w:rPr>
        <w:t>第八章  推进绿色转型集约发展</w:t>
      </w:r>
      <w:r>
        <w:rPr>
          <w:rFonts w:ascii="Times New Roman" w:hAnsi="Times New Roman" w:eastAsia="方正黑体_GBK"/>
          <w:sz w:val="30"/>
          <w:szCs w:val="30"/>
        </w:rPr>
        <w:tab/>
      </w:r>
      <w:r>
        <w:rPr>
          <w:rFonts w:ascii="Times New Roman" w:hAnsi="Times New Roman" w:eastAsia="方正黑体_GBK"/>
          <w:sz w:val="30"/>
          <w:szCs w:val="30"/>
        </w:rPr>
        <w:fldChar w:fldCharType="begin"/>
      </w:r>
      <w:r>
        <w:rPr>
          <w:rFonts w:ascii="Times New Roman" w:hAnsi="Times New Roman" w:eastAsia="方正黑体_GBK"/>
          <w:sz w:val="30"/>
          <w:szCs w:val="30"/>
        </w:rPr>
        <w:instrText xml:space="preserve"> PAGEREF _Toc81570114 \h </w:instrText>
      </w:r>
      <w:r>
        <w:rPr>
          <w:rFonts w:ascii="Times New Roman" w:hAnsi="Times New Roman" w:eastAsia="方正黑体_GBK"/>
          <w:sz w:val="30"/>
          <w:szCs w:val="30"/>
        </w:rPr>
        <w:fldChar w:fldCharType="separate"/>
      </w:r>
      <w:r>
        <w:rPr>
          <w:rFonts w:ascii="Times New Roman" w:hAnsi="Times New Roman" w:eastAsia="方正黑体_GBK"/>
          <w:sz w:val="30"/>
          <w:szCs w:val="30"/>
        </w:rPr>
        <w:t>- 36 -</w:t>
      </w:r>
      <w:r>
        <w:rPr>
          <w:rFonts w:ascii="Times New Roman" w:hAnsi="Times New Roman" w:eastAsia="方正黑体_GBK"/>
          <w:sz w:val="30"/>
          <w:szCs w:val="30"/>
        </w:rPr>
        <w:fldChar w:fldCharType="end"/>
      </w:r>
      <w:r>
        <w:rPr>
          <w:rFonts w:ascii="Times New Roman" w:hAnsi="Times New Roman" w:eastAsia="方正黑体_GBK"/>
          <w:sz w:val="30"/>
          <w:szCs w:val="30"/>
        </w:rPr>
        <w:fldChar w:fldCharType="end"/>
      </w:r>
    </w:p>
    <w:p w14:paraId="22751A12">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"_Toc81570115" </w:instrText>
      </w:r>
      <w:r>
        <w:fldChar w:fldCharType="separate"/>
      </w:r>
      <w:r>
        <w:rPr>
          <w:rStyle w:val="17"/>
          <w:rFonts w:ascii="Times New Roman" w:hAnsi="Times New Roman" w:eastAsia="方正楷体_GBK"/>
          <w:bCs/>
          <w:sz w:val="30"/>
          <w:szCs w:val="30"/>
        </w:rPr>
        <w:t>第一节  推动绿色低碳发展</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_Toc81570115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- 36 -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3C3BE36B">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"_Toc81570116" </w:instrText>
      </w:r>
      <w:r>
        <w:fldChar w:fldCharType="separate"/>
      </w:r>
      <w:r>
        <w:rPr>
          <w:rStyle w:val="17"/>
          <w:rFonts w:ascii="Times New Roman" w:hAnsi="Times New Roman" w:eastAsia="方正楷体_GBK"/>
          <w:bCs/>
          <w:sz w:val="30"/>
          <w:szCs w:val="30"/>
        </w:rPr>
        <w:t>第二节  严管生态环境空间</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_Toc81570116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- 37 -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7C019181">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"_Toc81570117" </w:instrText>
      </w:r>
      <w:r>
        <w:fldChar w:fldCharType="separate"/>
      </w:r>
      <w:r>
        <w:rPr>
          <w:rStyle w:val="17"/>
          <w:rFonts w:ascii="Times New Roman" w:hAnsi="Times New Roman" w:eastAsia="方正楷体_GBK"/>
          <w:bCs/>
          <w:sz w:val="30"/>
          <w:szCs w:val="30"/>
        </w:rPr>
        <w:t>第三节  持续改善环境质量</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_Toc81570117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- 38 -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09D47B2A">
      <w:pPr>
        <w:pStyle w:val="11"/>
        <w:tabs>
          <w:tab w:val="right" w:leader="dot" w:pos="8296"/>
        </w:tabs>
        <w:rPr>
          <w:rFonts w:ascii="Times New Roman" w:hAnsi="Times New Roman" w:eastAsia="方正黑体_GBK"/>
          <w:kern w:val="2"/>
          <w:sz w:val="30"/>
          <w:szCs w:val="30"/>
        </w:rPr>
      </w:pPr>
      <w:r>
        <w:fldChar w:fldCharType="begin"/>
      </w:r>
      <w:r>
        <w:instrText xml:space="preserve"> HYPERLINK \l "_Toc81570118" </w:instrText>
      </w:r>
      <w:r>
        <w:fldChar w:fldCharType="separate"/>
      </w:r>
      <w:r>
        <w:rPr>
          <w:rStyle w:val="17"/>
          <w:rFonts w:ascii="Times New Roman" w:hAnsi="Times New Roman" w:eastAsia="方正黑体_GBK"/>
          <w:sz w:val="30"/>
          <w:szCs w:val="30"/>
        </w:rPr>
        <w:t>第九章  促进产城融合全面发展</w:t>
      </w:r>
      <w:r>
        <w:rPr>
          <w:rFonts w:ascii="Times New Roman" w:hAnsi="Times New Roman" w:eastAsia="方正黑体_GBK"/>
          <w:sz w:val="30"/>
          <w:szCs w:val="30"/>
        </w:rPr>
        <w:tab/>
      </w:r>
      <w:r>
        <w:rPr>
          <w:rFonts w:ascii="Times New Roman" w:hAnsi="Times New Roman" w:eastAsia="方正黑体_GBK"/>
          <w:sz w:val="30"/>
          <w:szCs w:val="30"/>
        </w:rPr>
        <w:fldChar w:fldCharType="begin"/>
      </w:r>
      <w:r>
        <w:rPr>
          <w:rFonts w:ascii="Times New Roman" w:hAnsi="Times New Roman" w:eastAsia="方正黑体_GBK"/>
          <w:sz w:val="30"/>
          <w:szCs w:val="30"/>
        </w:rPr>
        <w:instrText xml:space="preserve"> PAGEREF _Toc81570118 \h </w:instrText>
      </w:r>
      <w:r>
        <w:rPr>
          <w:rFonts w:ascii="Times New Roman" w:hAnsi="Times New Roman" w:eastAsia="方正黑体_GBK"/>
          <w:sz w:val="30"/>
          <w:szCs w:val="30"/>
        </w:rPr>
        <w:fldChar w:fldCharType="separate"/>
      </w:r>
      <w:r>
        <w:rPr>
          <w:rFonts w:ascii="Times New Roman" w:hAnsi="Times New Roman" w:eastAsia="方正黑体_GBK"/>
          <w:sz w:val="30"/>
          <w:szCs w:val="30"/>
        </w:rPr>
        <w:t>- 41 -</w:t>
      </w:r>
      <w:r>
        <w:rPr>
          <w:rFonts w:ascii="Times New Roman" w:hAnsi="Times New Roman" w:eastAsia="方正黑体_GBK"/>
          <w:sz w:val="30"/>
          <w:szCs w:val="30"/>
        </w:rPr>
        <w:fldChar w:fldCharType="end"/>
      </w:r>
      <w:r>
        <w:rPr>
          <w:rFonts w:ascii="Times New Roman" w:hAnsi="Times New Roman" w:eastAsia="方正黑体_GBK"/>
          <w:sz w:val="30"/>
          <w:szCs w:val="30"/>
        </w:rPr>
        <w:fldChar w:fldCharType="end"/>
      </w:r>
    </w:p>
    <w:p w14:paraId="636ADA88">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"_Toc81570119" </w:instrText>
      </w:r>
      <w:r>
        <w:fldChar w:fldCharType="separate"/>
      </w:r>
      <w:r>
        <w:rPr>
          <w:rStyle w:val="17"/>
          <w:rFonts w:ascii="Times New Roman" w:hAnsi="Times New Roman" w:eastAsia="方正楷体_GBK"/>
          <w:bCs/>
          <w:sz w:val="30"/>
          <w:szCs w:val="30"/>
        </w:rPr>
        <w:t>第一节  加强基础设施建设</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_Toc81570119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- 41 -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7880A087">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"_Toc81570120" </w:instrText>
      </w:r>
      <w:r>
        <w:fldChar w:fldCharType="separate"/>
      </w:r>
      <w:r>
        <w:rPr>
          <w:rStyle w:val="17"/>
          <w:rFonts w:ascii="Times New Roman" w:hAnsi="Times New Roman" w:eastAsia="方正楷体_GBK"/>
          <w:bCs/>
          <w:sz w:val="30"/>
          <w:szCs w:val="30"/>
        </w:rPr>
        <w:t>第二节  推进城市功能完善</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_Toc81570120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- 42 -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78B99A86">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"_Toc81570121" </w:instrText>
      </w:r>
      <w:r>
        <w:fldChar w:fldCharType="separate"/>
      </w:r>
      <w:r>
        <w:rPr>
          <w:rStyle w:val="17"/>
          <w:rFonts w:ascii="Times New Roman" w:hAnsi="Times New Roman" w:eastAsia="方正楷体_GBK"/>
          <w:bCs/>
          <w:sz w:val="30"/>
          <w:szCs w:val="30"/>
        </w:rPr>
        <w:t>第三节  全面推进乡村振兴</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_Toc81570121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- 42 -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64CBBFD7">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"_Toc81570122" </w:instrText>
      </w:r>
      <w:r>
        <w:fldChar w:fldCharType="separate"/>
      </w:r>
      <w:r>
        <w:rPr>
          <w:rStyle w:val="17"/>
          <w:rFonts w:ascii="Times New Roman" w:hAnsi="Times New Roman" w:eastAsia="方正楷体_GBK"/>
          <w:bCs/>
          <w:sz w:val="30"/>
          <w:szCs w:val="30"/>
        </w:rPr>
        <w:t>第四节  提升公共服务水平</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_Toc81570122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- 43 -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118EFB5A">
      <w:pPr>
        <w:pStyle w:val="11"/>
        <w:tabs>
          <w:tab w:val="right" w:leader="dot" w:pos="8296"/>
        </w:tabs>
        <w:rPr>
          <w:rFonts w:ascii="Times New Roman" w:hAnsi="Times New Roman" w:eastAsia="方正黑体_GBK"/>
          <w:kern w:val="2"/>
          <w:sz w:val="30"/>
          <w:szCs w:val="30"/>
        </w:rPr>
      </w:pPr>
      <w:r>
        <w:fldChar w:fldCharType="begin"/>
      </w:r>
      <w:r>
        <w:instrText xml:space="preserve"> HYPERLINK \l "_Toc81570123" </w:instrText>
      </w:r>
      <w:r>
        <w:fldChar w:fldCharType="separate"/>
      </w:r>
      <w:r>
        <w:rPr>
          <w:rStyle w:val="17"/>
          <w:rFonts w:ascii="Times New Roman" w:hAnsi="Times New Roman" w:eastAsia="方正黑体_GBK"/>
          <w:sz w:val="30"/>
          <w:szCs w:val="30"/>
        </w:rPr>
        <w:t>第十章  优化经开区发展环境</w:t>
      </w:r>
      <w:r>
        <w:rPr>
          <w:rFonts w:ascii="Times New Roman" w:hAnsi="Times New Roman" w:eastAsia="方正黑体_GBK"/>
          <w:sz w:val="30"/>
          <w:szCs w:val="30"/>
        </w:rPr>
        <w:tab/>
      </w:r>
      <w:r>
        <w:rPr>
          <w:rFonts w:ascii="Times New Roman" w:hAnsi="Times New Roman" w:eastAsia="方正黑体_GBK"/>
          <w:sz w:val="30"/>
          <w:szCs w:val="30"/>
        </w:rPr>
        <w:fldChar w:fldCharType="begin"/>
      </w:r>
      <w:r>
        <w:rPr>
          <w:rFonts w:ascii="Times New Roman" w:hAnsi="Times New Roman" w:eastAsia="方正黑体_GBK"/>
          <w:sz w:val="30"/>
          <w:szCs w:val="30"/>
        </w:rPr>
        <w:instrText xml:space="preserve"> PAGEREF _Toc81570123 \h </w:instrText>
      </w:r>
      <w:r>
        <w:rPr>
          <w:rFonts w:ascii="Times New Roman" w:hAnsi="Times New Roman" w:eastAsia="方正黑体_GBK"/>
          <w:sz w:val="30"/>
          <w:szCs w:val="30"/>
        </w:rPr>
        <w:fldChar w:fldCharType="separate"/>
      </w:r>
      <w:r>
        <w:rPr>
          <w:rFonts w:ascii="Times New Roman" w:hAnsi="Times New Roman" w:eastAsia="方正黑体_GBK"/>
          <w:sz w:val="30"/>
          <w:szCs w:val="30"/>
        </w:rPr>
        <w:t>- 45 -</w:t>
      </w:r>
      <w:r>
        <w:rPr>
          <w:rFonts w:ascii="Times New Roman" w:hAnsi="Times New Roman" w:eastAsia="方正黑体_GBK"/>
          <w:sz w:val="30"/>
          <w:szCs w:val="30"/>
        </w:rPr>
        <w:fldChar w:fldCharType="end"/>
      </w:r>
      <w:r>
        <w:rPr>
          <w:rFonts w:ascii="Times New Roman" w:hAnsi="Times New Roman" w:eastAsia="方正黑体_GBK"/>
          <w:sz w:val="30"/>
          <w:szCs w:val="30"/>
        </w:rPr>
        <w:fldChar w:fldCharType="end"/>
      </w:r>
    </w:p>
    <w:p w14:paraId="4EACC7B8">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"_Toc81570124" </w:instrText>
      </w:r>
      <w:r>
        <w:fldChar w:fldCharType="separate"/>
      </w:r>
      <w:r>
        <w:rPr>
          <w:rStyle w:val="17"/>
          <w:rFonts w:ascii="Times New Roman" w:hAnsi="Times New Roman" w:eastAsia="方正楷体_GBK"/>
          <w:bCs/>
          <w:sz w:val="30"/>
          <w:szCs w:val="30"/>
        </w:rPr>
        <w:t>第一节  加强各类要素保障</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_Toc81570124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- 45 -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399ACD8B">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"_Toc81570125" </w:instrText>
      </w:r>
      <w:r>
        <w:fldChar w:fldCharType="separate"/>
      </w:r>
      <w:r>
        <w:rPr>
          <w:rStyle w:val="17"/>
          <w:rFonts w:ascii="Times New Roman" w:hAnsi="Times New Roman" w:eastAsia="方正楷体_GBK"/>
          <w:bCs/>
          <w:sz w:val="30"/>
          <w:szCs w:val="30"/>
        </w:rPr>
        <w:t>第二节  提高行政审批效率</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_Toc81570125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- 47 -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272E82E6">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"_Toc81570126" </w:instrText>
      </w:r>
      <w:r>
        <w:fldChar w:fldCharType="separate"/>
      </w:r>
      <w:r>
        <w:rPr>
          <w:rStyle w:val="17"/>
          <w:rFonts w:ascii="Times New Roman" w:hAnsi="Times New Roman" w:eastAsia="方正楷体_GBK"/>
          <w:bCs/>
          <w:sz w:val="30"/>
          <w:szCs w:val="30"/>
        </w:rPr>
        <w:t>第三节  提高政务服务质效</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_Toc81570126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- 47 -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38FC39C6">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"_Toc81570127" </w:instrText>
      </w:r>
      <w:r>
        <w:fldChar w:fldCharType="separate"/>
      </w:r>
      <w:r>
        <w:rPr>
          <w:rStyle w:val="17"/>
          <w:rFonts w:ascii="Times New Roman" w:hAnsi="Times New Roman" w:eastAsia="方正楷体_GBK"/>
          <w:bCs/>
          <w:sz w:val="30"/>
          <w:szCs w:val="30"/>
        </w:rPr>
        <w:t>第四节  完善市场监管体系</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_Toc81570127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- 48 -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7A31FEB8">
      <w:pPr>
        <w:pStyle w:val="11"/>
        <w:tabs>
          <w:tab w:val="right" w:leader="dot" w:pos="8296"/>
        </w:tabs>
        <w:rPr>
          <w:rFonts w:ascii="Times New Roman" w:hAnsi="Times New Roman" w:eastAsia="方正黑体_GBK"/>
          <w:kern w:val="2"/>
          <w:sz w:val="30"/>
          <w:szCs w:val="30"/>
        </w:rPr>
      </w:pPr>
      <w:r>
        <w:fldChar w:fldCharType="begin"/>
      </w:r>
      <w:r>
        <w:instrText xml:space="preserve"> HYPERLINK \l "_Toc81570128" </w:instrText>
      </w:r>
      <w:r>
        <w:fldChar w:fldCharType="separate"/>
      </w:r>
      <w:r>
        <w:rPr>
          <w:rStyle w:val="17"/>
          <w:rFonts w:ascii="Times New Roman" w:hAnsi="Times New Roman" w:eastAsia="方正黑体_GBK"/>
          <w:sz w:val="30"/>
          <w:szCs w:val="30"/>
        </w:rPr>
        <w:t>第十一章  保障措施</w:t>
      </w:r>
      <w:r>
        <w:rPr>
          <w:rFonts w:ascii="Times New Roman" w:hAnsi="Times New Roman" w:eastAsia="方正黑体_GBK"/>
          <w:sz w:val="30"/>
          <w:szCs w:val="30"/>
        </w:rPr>
        <w:tab/>
      </w:r>
      <w:r>
        <w:rPr>
          <w:rFonts w:ascii="Times New Roman" w:hAnsi="Times New Roman" w:eastAsia="方正黑体_GBK"/>
          <w:sz w:val="30"/>
          <w:szCs w:val="30"/>
        </w:rPr>
        <w:fldChar w:fldCharType="begin"/>
      </w:r>
      <w:r>
        <w:rPr>
          <w:rFonts w:ascii="Times New Roman" w:hAnsi="Times New Roman" w:eastAsia="方正黑体_GBK"/>
          <w:sz w:val="30"/>
          <w:szCs w:val="30"/>
        </w:rPr>
        <w:instrText xml:space="preserve"> PAGEREF _Toc81570128 \h </w:instrText>
      </w:r>
      <w:r>
        <w:rPr>
          <w:rFonts w:ascii="Times New Roman" w:hAnsi="Times New Roman" w:eastAsia="方正黑体_GBK"/>
          <w:sz w:val="30"/>
          <w:szCs w:val="30"/>
        </w:rPr>
        <w:fldChar w:fldCharType="separate"/>
      </w:r>
      <w:r>
        <w:rPr>
          <w:rFonts w:ascii="Times New Roman" w:hAnsi="Times New Roman" w:eastAsia="方正黑体_GBK"/>
          <w:sz w:val="30"/>
          <w:szCs w:val="30"/>
        </w:rPr>
        <w:t>- 49 -</w:t>
      </w:r>
      <w:r>
        <w:rPr>
          <w:rFonts w:ascii="Times New Roman" w:hAnsi="Times New Roman" w:eastAsia="方正黑体_GBK"/>
          <w:sz w:val="30"/>
          <w:szCs w:val="30"/>
        </w:rPr>
        <w:fldChar w:fldCharType="end"/>
      </w:r>
      <w:r>
        <w:rPr>
          <w:rFonts w:ascii="Times New Roman" w:hAnsi="Times New Roman" w:eastAsia="方正黑体_GBK"/>
          <w:sz w:val="30"/>
          <w:szCs w:val="30"/>
        </w:rPr>
        <w:fldChar w:fldCharType="end"/>
      </w:r>
    </w:p>
    <w:p w14:paraId="2520A95C">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"_Toc81570129" </w:instrText>
      </w:r>
      <w:r>
        <w:fldChar w:fldCharType="separate"/>
      </w:r>
      <w:r>
        <w:rPr>
          <w:rStyle w:val="17"/>
          <w:rFonts w:ascii="Times New Roman" w:hAnsi="Times New Roman" w:eastAsia="方正楷体_GBK"/>
          <w:bCs/>
          <w:sz w:val="30"/>
          <w:szCs w:val="30"/>
        </w:rPr>
        <w:t>第一节  坚持党的全面领导</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_Toc81570129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- 49 -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29E313EE">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"_Toc81570130" </w:instrText>
      </w:r>
      <w:r>
        <w:fldChar w:fldCharType="separate"/>
      </w:r>
      <w:r>
        <w:rPr>
          <w:rStyle w:val="17"/>
          <w:rFonts w:ascii="Times New Roman" w:hAnsi="Times New Roman" w:eastAsia="方正楷体_GBK"/>
          <w:bCs/>
          <w:sz w:val="30"/>
          <w:szCs w:val="30"/>
        </w:rPr>
        <w:t>第二节  提高组织管理水平</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_Toc81570130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- 49 -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58062CFF">
      <w:pPr>
        <w:pStyle w:val="12"/>
        <w:tabs>
          <w:tab w:val="right" w:leader="dot" w:pos="8296"/>
        </w:tabs>
        <w:ind w:firstLine="440"/>
        <w:rPr>
          <w:rFonts w:ascii="Times New Roman" w:hAnsi="Times New Roman" w:eastAsia="方正楷体_GBK"/>
          <w:kern w:val="2"/>
          <w:sz w:val="30"/>
          <w:szCs w:val="30"/>
        </w:rPr>
      </w:pPr>
      <w:r>
        <w:fldChar w:fldCharType="begin"/>
      </w:r>
      <w:r>
        <w:instrText xml:space="preserve"> HYPERLINK \l "_Toc81570131" </w:instrText>
      </w:r>
      <w:r>
        <w:fldChar w:fldCharType="separate"/>
      </w:r>
      <w:r>
        <w:rPr>
          <w:rStyle w:val="17"/>
          <w:rFonts w:ascii="Times New Roman" w:hAnsi="Times New Roman" w:eastAsia="方正楷体_GBK"/>
          <w:bCs/>
          <w:sz w:val="30"/>
          <w:szCs w:val="30"/>
        </w:rPr>
        <w:t>第三节  健全安全风险管控</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_Toc81570131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- 49 -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062E1DEA">
      <w:pPr>
        <w:pStyle w:val="12"/>
        <w:tabs>
          <w:tab w:val="right" w:leader="dot" w:pos="8296"/>
        </w:tabs>
        <w:ind w:firstLine="440"/>
        <w:rPr>
          <w:rFonts w:ascii="Times New Roman" w:hAnsi="Times New Roman" w:eastAsia="方正仿宋_GBK"/>
          <w:kern w:val="2"/>
          <w:sz w:val="30"/>
          <w:szCs w:val="30"/>
        </w:rPr>
      </w:pPr>
      <w:r>
        <w:fldChar w:fldCharType="begin"/>
      </w:r>
      <w:r>
        <w:instrText xml:space="preserve"> HYPERLINK \l "_Toc81570132" </w:instrText>
      </w:r>
      <w:r>
        <w:fldChar w:fldCharType="separate"/>
      </w:r>
      <w:r>
        <w:rPr>
          <w:rStyle w:val="17"/>
          <w:rFonts w:ascii="Times New Roman" w:hAnsi="Times New Roman" w:eastAsia="方正楷体_GBK"/>
          <w:bCs/>
          <w:sz w:val="30"/>
          <w:szCs w:val="30"/>
        </w:rPr>
        <w:t>第四节  加强规划监督评估</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_Toc81570132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- 50 -</w:t>
      </w:r>
      <w:r>
        <w:rPr>
          <w:rFonts w:ascii="Times New Roman" w:hAnsi="Times New Roman" w:eastAsia="方正楷体_GBK"/>
          <w:sz w:val="30"/>
          <w:szCs w:val="30"/>
        </w:rPr>
        <w:fldChar w:fldCharType="end"/>
      </w:r>
      <w:r>
        <w:rPr>
          <w:rFonts w:ascii="Times New Roman" w:hAnsi="Times New Roman" w:eastAsia="方正楷体_GBK"/>
          <w:sz w:val="30"/>
          <w:szCs w:val="30"/>
        </w:rPr>
        <w:fldChar w:fldCharType="end"/>
      </w:r>
    </w:p>
    <w:p w14:paraId="38CC4B9E">
      <w:pPr>
        <w:pStyle w:val="2"/>
        <w:spacing w:before="50" w:after="50"/>
        <w:rPr>
          <w:rFonts w:ascii="Times New Roman" w:hAnsi="Times New Roman"/>
        </w:rPr>
      </w:pPr>
      <w:r>
        <w:rPr>
          <w:rFonts w:ascii="Times New Roman" w:hAnsi="Times New Roman" w:eastAsia="仿宋_GB2312"/>
          <w:b/>
          <w:kern w:val="0"/>
          <w:sz w:val="30"/>
          <w:szCs w:val="30"/>
        </w:rPr>
        <w:fldChar w:fldCharType="end"/>
      </w:r>
    </w:p>
    <w:p w14:paraId="7551A26B">
      <w:pPr>
        <w:pStyle w:val="2"/>
        <w:spacing w:before="50" w:after="50"/>
        <w:rPr>
          <w:rFonts w:ascii="Times New Roman" w:hAnsi="Times New Roman"/>
        </w:rPr>
      </w:pPr>
    </w:p>
    <w:p w14:paraId="48566F49">
      <w:pPr>
        <w:pStyle w:val="2"/>
        <w:rPr>
          <w:lang w:val="zh-CN"/>
        </w:rPr>
        <w:sectPr>
          <w:footerReference r:id="rId9" w:type="default"/>
          <w:footerReference r:id="rId10" w:type="even"/>
          <w:pgSz w:w="11906" w:h="16838"/>
          <w:pgMar w:top="1440" w:right="1800" w:bottom="1440" w:left="1800" w:header="851" w:footer="992" w:gutter="0"/>
          <w:pgNumType w:fmt="numberInDash" w:start="1"/>
          <w:cols w:space="720" w:num="1"/>
          <w:docGrid w:type="lines" w:linePitch="312" w:charSpace="0"/>
        </w:sectPr>
      </w:pPr>
    </w:p>
    <w:p w14:paraId="048B2160">
      <w:pPr>
        <w:rPr>
          <w:rFonts w:eastAsia="仿宋_GB2312"/>
          <w:sz w:val="30"/>
          <w:szCs w:val="30"/>
          <w:lang w:val="zh-CN"/>
        </w:rPr>
      </w:pPr>
    </w:p>
    <w:p w14:paraId="49FDFFF8">
      <w:pPr>
        <w:pStyle w:val="2"/>
        <w:rPr>
          <w:lang w:val="zh-CN"/>
        </w:rPr>
        <w:sectPr>
          <w:footerReference r:id="rId11" w:type="default"/>
          <w:pgSz w:w="11906" w:h="16838"/>
          <w:pgMar w:top="1440" w:right="1800" w:bottom="1440" w:left="1800" w:header="851" w:footer="992" w:gutter="0"/>
          <w:pgNumType w:fmt="numberInDash" w:start="1"/>
          <w:cols w:space="720" w:num="1"/>
          <w:docGrid w:type="lines" w:linePitch="312" w:charSpace="0"/>
        </w:sectPr>
      </w:pPr>
    </w:p>
    <w:p w14:paraId="229A404B">
      <w:pPr>
        <w:adjustRightInd w:val="0"/>
        <w:snapToGrid w:val="0"/>
        <w:spacing w:line="600" w:lineRule="exact"/>
        <w:ind w:firstLine="640" w:firstLineChars="200"/>
        <w:rPr>
          <w:rFonts w:eastAsia="方正仿宋_GBK"/>
          <w:sz w:val="32"/>
          <w:szCs w:val="32"/>
          <w:lang w:val="zh-CN"/>
        </w:rPr>
      </w:pPr>
      <w:r>
        <w:rPr>
          <w:rFonts w:eastAsia="方正仿宋_GBK"/>
          <w:sz w:val="32"/>
          <w:szCs w:val="32"/>
          <w:lang w:val="zh-CN"/>
        </w:rPr>
        <w:t>“十四五”时期是我国全面建成小康社会，向第二个百年奋斗目标前行的新发展阶段，也是我国坚定不移推进改革、扩大开放，破除高质量发展障碍的重要历史时期。国家级经济技术开发区是改革开放的“排头兵”、高质量发展的“主阵地”，在“十四五”时期扮演着推动国民经济和社会发展的重要角色。为深刻认识曲靖经济技术开发区（以下简称曲靖经开区）“十四五”时期发展面临的新形势、新变化，把握经开区发展新机遇、应对新挑战，更好完成创新提升的历史使命，实现高质量发展，特制定曲靖经开区“十四五”时期发展规划。</w:t>
      </w:r>
    </w:p>
    <w:p w14:paraId="6F1493A7">
      <w:pPr>
        <w:spacing w:beforeLines="50" w:afterLines="50" w:line="600" w:lineRule="exact"/>
        <w:jc w:val="center"/>
        <w:rPr>
          <w:rFonts w:ascii="方正黑体_GBK" w:eastAsia="方正黑体_GBK"/>
          <w:sz w:val="32"/>
          <w:szCs w:val="28"/>
        </w:rPr>
      </w:pPr>
      <w:bookmarkStart w:id="0" w:name="_Toc81569995"/>
      <w:bookmarkStart w:id="1" w:name="_Toc14185"/>
      <w:bookmarkStart w:id="2" w:name="_Toc76716272"/>
      <w:bookmarkStart w:id="3" w:name="_Toc14313"/>
      <w:bookmarkStart w:id="4" w:name="_Toc10987"/>
      <w:bookmarkStart w:id="5" w:name="_Toc81570091"/>
      <w:bookmarkStart w:id="6" w:name="_Toc31533"/>
      <w:r>
        <w:rPr>
          <w:rFonts w:hint="eastAsia" w:ascii="方正黑体_GBK" w:eastAsia="方正黑体_GBK"/>
          <w:sz w:val="32"/>
          <w:szCs w:val="28"/>
        </w:rPr>
        <w:t>第一章  发展基础</w:t>
      </w:r>
      <w:bookmarkEnd w:id="0"/>
      <w:bookmarkEnd w:id="1"/>
      <w:bookmarkEnd w:id="2"/>
      <w:bookmarkEnd w:id="3"/>
      <w:bookmarkEnd w:id="4"/>
      <w:bookmarkEnd w:id="5"/>
      <w:bookmarkEnd w:id="6"/>
    </w:p>
    <w:p w14:paraId="727F99D0">
      <w:pPr>
        <w:adjustRightInd w:val="0"/>
        <w:snapToGrid w:val="0"/>
        <w:spacing w:line="600" w:lineRule="exact"/>
        <w:ind w:firstLine="640" w:firstLineChars="200"/>
        <w:rPr>
          <w:rFonts w:eastAsia="方正仿宋_GBK"/>
          <w:sz w:val="32"/>
          <w:szCs w:val="32"/>
          <w:lang w:val="zh-CN"/>
        </w:rPr>
      </w:pPr>
      <w:r>
        <w:rPr>
          <w:rFonts w:eastAsia="方正仿宋_GBK"/>
          <w:sz w:val="32"/>
          <w:szCs w:val="32"/>
          <w:lang w:val="zh-CN"/>
        </w:rPr>
        <w:t>2016年以来，曲靖经开区扎实推进“十三五”规划落实，经济规模稳步提升，主导产业持续发展，开放水平逐步提高，创新体系日渐完善，产城融合加快推进，社会治理水平提升，改革创新不断深化。</w:t>
      </w:r>
    </w:p>
    <w:p w14:paraId="6F4DD8BB">
      <w:pPr>
        <w:adjustRightInd w:val="0"/>
        <w:snapToGrid w:val="0"/>
        <w:spacing w:line="600" w:lineRule="exact"/>
        <w:ind w:firstLine="640" w:firstLineChars="200"/>
        <w:rPr>
          <w:rFonts w:eastAsia="方正仿宋_GBK"/>
          <w:sz w:val="32"/>
          <w:szCs w:val="32"/>
          <w:lang w:val="zh-CN"/>
        </w:rPr>
      </w:pPr>
      <w:r>
        <w:rPr>
          <w:rFonts w:eastAsia="方正仿宋_GBK"/>
          <w:b/>
          <w:bCs/>
          <w:sz w:val="32"/>
          <w:szCs w:val="32"/>
        </w:rPr>
        <w:t>经济规模稳步提升。</w:t>
      </w:r>
      <w:r>
        <w:rPr>
          <w:rFonts w:eastAsia="方正仿宋_GBK"/>
          <w:sz w:val="32"/>
          <w:szCs w:val="32"/>
          <w:lang w:val="zh-CN"/>
        </w:rPr>
        <w:t>“十三五”时期，曲靖经开区生产总值（GDP）年均增长11%，工业增加值年均增长16%；固定资产投资年均增长18%，社会消费品零售总额年均增长10.60%，一般公共预算收入年均增长1%。生产总值、财政收入及税收收入在云南省5家国家级经开区中均位居第二。</w:t>
      </w:r>
    </w:p>
    <w:p w14:paraId="7DB7644F">
      <w:pPr>
        <w:adjustRightInd w:val="0"/>
        <w:snapToGrid w:val="0"/>
        <w:spacing w:line="600" w:lineRule="exact"/>
        <w:ind w:firstLine="640" w:firstLineChars="200"/>
        <w:rPr>
          <w:rFonts w:eastAsia="方正仿宋_GBK"/>
          <w:bCs/>
          <w:sz w:val="32"/>
          <w:szCs w:val="32"/>
          <w:lang w:val="zh-CN"/>
        </w:rPr>
      </w:pPr>
      <w:r>
        <w:rPr>
          <w:rFonts w:eastAsia="方正仿宋_GBK"/>
          <w:b/>
          <w:bCs/>
          <w:sz w:val="32"/>
          <w:szCs w:val="32"/>
        </w:rPr>
        <w:t>主导产业持续发展。</w:t>
      </w:r>
      <w:r>
        <w:rPr>
          <w:rFonts w:eastAsia="方正仿宋_GBK"/>
          <w:sz w:val="32"/>
          <w:szCs w:val="32"/>
          <w:lang w:val="zh-CN"/>
        </w:rPr>
        <w:t>“十三五”</w:t>
      </w:r>
      <w:r>
        <w:rPr>
          <w:rFonts w:eastAsia="方正仿宋_GBK"/>
          <w:bCs/>
          <w:sz w:val="32"/>
          <w:szCs w:val="32"/>
          <w:lang w:val="zh-CN"/>
        </w:rPr>
        <w:t>期间，曲靖经开区绿色硅光伏、新能源电池、数字经济三大主导产业实现持续稳步发展。</w:t>
      </w:r>
      <w:r>
        <w:rPr>
          <w:rFonts w:eastAsia="方正仿宋_GBK"/>
          <w:b/>
          <w:bCs/>
          <w:sz w:val="32"/>
          <w:szCs w:val="32"/>
          <w:lang w:val="zh-CN"/>
        </w:rPr>
        <w:t>在绿色硅光伏产业方面</w:t>
      </w:r>
      <w:r>
        <w:rPr>
          <w:rFonts w:eastAsia="方正仿宋_GBK"/>
          <w:bCs/>
          <w:sz w:val="32"/>
          <w:szCs w:val="32"/>
          <w:lang w:val="zh-CN"/>
        </w:rPr>
        <w:t>，规划建设了9.89平方公里的“硅光伏产业园”，建成了20GW硅棒及20GW切片，已开工建设40GW硅棒及40GW切片，签约了20GW硅棒、20GW切片及10GW电池片，南海子片区被授予“云南省水电硅材加工一体化产业示范基地”。</w:t>
      </w:r>
      <w:r>
        <w:rPr>
          <w:rFonts w:eastAsia="方正仿宋_GBK"/>
          <w:b/>
          <w:bCs/>
          <w:sz w:val="32"/>
          <w:szCs w:val="32"/>
          <w:lang w:val="zh-CN"/>
        </w:rPr>
        <w:t>在新能源电池产业方面</w:t>
      </w:r>
      <w:r>
        <w:rPr>
          <w:rFonts w:eastAsia="方正仿宋_GBK"/>
          <w:bCs/>
          <w:sz w:val="32"/>
          <w:szCs w:val="32"/>
          <w:lang w:val="zh-CN"/>
        </w:rPr>
        <w:t>，规划建设</w:t>
      </w:r>
      <w:r>
        <w:rPr>
          <w:rFonts w:eastAsia="方正仿宋_GBK"/>
          <w:bCs/>
          <w:sz w:val="32"/>
          <w:szCs w:val="32"/>
        </w:rPr>
        <w:t>了</w:t>
      </w:r>
      <w:r>
        <w:rPr>
          <w:rFonts w:eastAsia="方正仿宋_GBK"/>
          <w:bCs/>
          <w:sz w:val="32"/>
          <w:szCs w:val="32"/>
          <w:lang w:val="zh-CN"/>
        </w:rPr>
        <w:t>6.92平方公里的新能源电池产业园，磷酸铁锂正极材料产能达5.30万吨，在建产能6万吨，年产8000吨碳纳米管导电液配套项目已投产，上海宝钢气体6000标立方/小时液体气体分离项目、新能源电池循环利用等配套项目顺利推进，宁德时代新能源科技股份有限公司、深圳德方纳米科技股份有限公司、远景能源有限公司等入驻企业均为国内新能源电池产业的龙头企业。</w:t>
      </w:r>
      <w:r>
        <w:rPr>
          <w:rFonts w:eastAsia="方正仿宋_GBK"/>
          <w:b/>
          <w:bCs/>
          <w:sz w:val="32"/>
          <w:szCs w:val="32"/>
          <w:lang w:val="zh-CN"/>
        </w:rPr>
        <w:t>在数字经济产业方面</w:t>
      </w:r>
      <w:r>
        <w:rPr>
          <w:rFonts w:eastAsia="方正仿宋_GBK"/>
          <w:bCs/>
          <w:sz w:val="32"/>
          <w:szCs w:val="32"/>
          <w:lang w:val="zh-CN"/>
        </w:rPr>
        <w:t>，</w:t>
      </w:r>
      <w:bookmarkStart w:id="7" w:name="_Toc68592823"/>
      <w:r>
        <w:rPr>
          <w:rFonts w:eastAsia="方正仿宋_GBK"/>
          <w:bCs/>
          <w:sz w:val="32"/>
          <w:szCs w:val="32"/>
          <w:lang w:val="zh-CN"/>
        </w:rPr>
        <w:t>规划布局了“一核三园”数字经济发展格局，优势产业、重点企业数字化建设工作稳步推进。</w:t>
      </w:r>
    </w:p>
    <w:bookmarkEnd w:id="7"/>
    <w:p w14:paraId="64C9497A">
      <w:pPr>
        <w:adjustRightInd w:val="0"/>
        <w:snapToGrid w:val="0"/>
        <w:spacing w:line="600" w:lineRule="exact"/>
        <w:ind w:firstLine="640" w:firstLineChars="200"/>
        <w:rPr>
          <w:rFonts w:eastAsia="方正仿宋_GBK"/>
          <w:bCs/>
          <w:sz w:val="32"/>
          <w:szCs w:val="32"/>
          <w:lang w:val="zh-CN"/>
        </w:rPr>
      </w:pPr>
      <w:r>
        <w:rPr>
          <w:rFonts w:eastAsia="方正仿宋_GBK"/>
          <w:b/>
          <w:bCs/>
          <w:sz w:val="32"/>
          <w:szCs w:val="32"/>
        </w:rPr>
        <w:t>开放水平逐步提高。</w:t>
      </w:r>
      <w:r>
        <w:rPr>
          <w:rFonts w:eastAsia="方正仿宋_GBK"/>
          <w:bCs/>
          <w:sz w:val="32"/>
          <w:szCs w:val="32"/>
          <w:lang w:val="zh-CN"/>
        </w:rPr>
        <w:t>曲靖经开区一直致力于提高对外开放水平，对外贸易及利用外资均取得较快发展，开放平台建设持续推进。“十三五”期间，经开区累计新批准外商投资企业5户；累计引进国内市外到位资金531.13亿元，其中省外到位资金472.10亿元；累计实际利用外资3682万美元；累计外贸进出口总额37.94亿美元，年均增长17.50%。2020年11月曲靖海关正式挂牌，有效降低了企业物流成本，提升了通关业务办理时效。2020年，曲靖经开区还获批成为中国（云南）自由贸易试验区联动创新区，在科技、产业、人才、金融等方面与自贸区实现优势互补、经验互鉴、发展互动。</w:t>
      </w:r>
    </w:p>
    <w:p w14:paraId="5FBA629D">
      <w:pPr>
        <w:adjustRightInd w:val="0"/>
        <w:snapToGrid w:val="0"/>
        <w:spacing w:line="600" w:lineRule="exact"/>
        <w:ind w:firstLine="640" w:firstLineChars="200"/>
        <w:rPr>
          <w:rFonts w:eastAsia="方正仿宋_GBK"/>
          <w:bCs/>
          <w:sz w:val="32"/>
          <w:szCs w:val="32"/>
          <w:lang w:val="zh-CN"/>
        </w:rPr>
      </w:pPr>
      <w:r>
        <w:rPr>
          <w:rFonts w:eastAsia="方正仿宋_GBK"/>
          <w:b/>
          <w:bCs/>
          <w:sz w:val="32"/>
          <w:szCs w:val="32"/>
        </w:rPr>
        <w:t>创新体系日渐完善。</w:t>
      </w:r>
      <w:r>
        <w:rPr>
          <w:rFonts w:eastAsia="方正仿宋_GBK"/>
          <w:bCs/>
          <w:sz w:val="32"/>
          <w:szCs w:val="32"/>
          <w:lang w:val="zh-CN"/>
        </w:rPr>
        <w:t>曲靖经开区积极推进创新平台建设，</w:t>
      </w:r>
      <w:r>
        <w:rPr>
          <w:rFonts w:eastAsia="方正仿宋_GBK"/>
          <w:bCs/>
          <w:sz w:val="32"/>
          <w:szCs w:val="32"/>
        </w:rPr>
        <w:t>已</w:t>
      </w:r>
      <w:r>
        <w:rPr>
          <w:rFonts w:eastAsia="方正仿宋_GBK"/>
          <w:bCs/>
          <w:sz w:val="32"/>
          <w:szCs w:val="32"/>
          <w:lang w:val="zh-CN"/>
        </w:rPr>
        <w:t>拥有国家级企业孵化器1家、国家级众创空间2家。积极开展创新型试点企业培育和知识产权试点示范工作，初步建成产学研结合的新型创新体系。企业自主创新能力明显提高，</w:t>
      </w:r>
      <w:r>
        <w:rPr>
          <w:rFonts w:eastAsia="方正仿宋_GBK"/>
          <w:bCs/>
          <w:sz w:val="32"/>
          <w:szCs w:val="32"/>
        </w:rPr>
        <w:t>已</w:t>
      </w:r>
      <w:r>
        <w:rPr>
          <w:rFonts w:eastAsia="方正仿宋_GBK"/>
          <w:bCs/>
          <w:sz w:val="32"/>
          <w:szCs w:val="32"/>
          <w:lang w:val="zh-CN"/>
        </w:rPr>
        <w:t>拥有省级工程技术研究中心3家，省重点实验室2家，国家高新技术企业22家，省级企业技术中心5家，省、市院士（专家）工作站20家。</w:t>
      </w:r>
    </w:p>
    <w:p w14:paraId="06781AAC">
      <w:pPr>
        <w:adjustRightInd w:val="0"/>
        <w:snapToGrid w:val="0"/>
        <w:spacing w:line="600" w:lineRule="exact"/>
        <w:ind w:firstLine="640" w:firstLineChars="200"/>
        <w:rPr>
          <w:rFonts w:eastAsia="方正仿宋_GBK"/>
          <w:bCs/>
          <w:sz w:val="32"/>
          <w:szCs w:val="32"/>
          <w:lang w:val="zh-CN"/>
        </w:rPr>
      </w:pPr>
      <w:r>
        <w:rPr>
          <w:rFonts w:eastAsia="方正仿宋_GBK"/>
          <w:b/>
          <w:bCs/>
          <w:sz w:val="32"/>
          <w:szCs w:val="32"/>
        </w:rPr>
        <w:t>产城融合加快推进。</w:t>
      </w:r>
      <w:r>
        <w:rPr>
          <w:rFonts w:eastAsia="方正仿宋_GBK"/>
          <w:bCs/>
          <w:sz w:val="32"/>
          <w:szCs w:val="32"/>
          <w:lang w:val="zh-CN"/>
        </w:rPr>
        <w:t>“十三五”期间，经开区以满足经济社会快速发展需求和基本公共服务均等化为目标，先后实施了市政基础设施建设、文明城市创建等重点工程，实施续建、新建、前期基础设施项目150余个，累计建成区面积达18.15平方公里，城市基础设施不断完善，逐步形成“以产兴城、以城带产、产城融合、城乡一体”的发展格局。</w:t>
      </w:r>
    </w:p>
    <w:p w14:paraId="724DAE6D">
      <w:pPr>
        <w:adjustRightInd w:val="0"/>
        <w:snapToGrid w:val="0"/>
        <w:spacing w:line="600" w:lineRule="exact"/>
        <w:ind w:firstLine="640" w:firstLineChars="200"/>
        <w:rPr>
          <w:rFonts w:eastAsia="方正仿宋_GBK"/>
          <w:bCs/>
          <w:sz w:val="32"/>
          <w:szCs w:val="32"/>
          <w:lang w:val="zh-CN"/>
        </w:rPr>
      </w:pPr>
      <w:r>
        <w:rPr>
          <w:rFonts w:eastAsia="方正仿宋_GBK"/>
          <w:b/>
          <w:bCs/>
          <w:sz w:val="32"/>
          <w:szCs w:val="32"/>
        </w:rPr>
        <w:t>社会治理水平提升。</w:t>
      </w:r>
      <w:r>
        <w:rPr>
          <w:rFonts w:eastAsia="方正仿宋_GBK"/>
          <w:bCs/>
          <w:sz w:val="32"/>
          <w:szCs w:val="32"/>
        </w:rPr>
        <w:t>“</w:t>
      </w:r>
      <w:r>
        <w:rPr>
          <w:rFonts w:eastAsia="方正仿宋_GBK"/>
          <w:bCs/>
          <w:sz w:val="32"/>
          <w:szCs w:val="32"/>
          <w:lang w:val="zh-CN"/>
        </w:rPr>
        <w:t>十三五”期间，曲靖经开区科教文卫设施日渐完善，区内已形成幼儿园至高等院校的完整教育体系和完善的医疗卫生服务体系等社会保障，并建成社区综合文化服务中心、乡镇（街道）文化站等公共文化基础设施。全面实施精准扶贫，加大扶贫项目资金投入。推进保障性安居工程，开展公租房项目及棚户区、农村危房改造项目。深入开展平安工程建设，持续推进“依法治区”，有效防范重大风险。</w:t>
      </w:r>
    </w:p>
    <w:p w14:paraId="734CD30A">
      <w:pPr>
        <w:adjustRightInd w:val="0"/>
        <w:snapToGrid w:val="0"/>
        <w:spacing w:line="600" w:lineRule="exact"/>
        <w:ind w:firstLine="640" w:firstLineChars="200"/>
        <w:rPr>
          <w:rFonts w:eastAsia="方正仿宋_GBK"/>
          <w:bCs/>
          <w:sz w:val="32"/>
          <w:szCs w:val="32"/>
          <w:lang w:val="zh-CN"/>
        </w:rPr>
      </w:pPr>
      <w:r>
        <w:rPr>
          <w:rFonts w:eastAsia="方正仿宋_GBK"/>
          <w:b/>
          <w:bCs/>
          <w:sz w:val="32"/>
          <w:szCs w:val="32"/>
        </w:rPr>
        <w:t>改革创新不断深化。</w:t>
      </w:r>
      <w:r>
        <w:rPr>
          <w:rFonts w:eastAsia="方正仿宋_GBK"/>
          <w:bCs/>
          <w:sz w:val="32"/>
          <w:szCs w:val="32"/>
          <w:lang w:val="zh-CN"/>
        </w:rPr>
        <w:t>“十三五”期间，曲靖经开区不断深化体制机制改革创新，推动机构编制工作转型发展，理顺托管单位机构编制管理。全面深化“放管服”、推进相对集中行政许可权改革，持续优化提升投资营商环境。组建经开区建设投资集团和国有资本运营有限公司，搭建现代投融资平台、建设人才特区。打通用人渠道，实现干部人才新老融合、量才使用。用活绩效管理考核，充分激发干部活力。</w:t>
      </w:r>
    </w:p>
    <w:p w14:paraId="3225D696">
      <w:pPr>
        <w:adjustRightInd w:val="0"/>
        <w:snapToGrid w:val="0"/>
        <w:spacing w:line="600" w:lineRule="exact"/>
        <w:ind w:firstLine="640" w:firstLineChars="200"/>
        <w:rPr>
          <w:rFonts w:eastAsia="方正仿宋_GBK"/>
          <w:bCs/>
          <w:sz w:val="32"/>
          <w:szCs w:val="32"/>
          <w:lang w:val="zh-CN"/>
        </w:rPr>
      </w:pPr>
      <w:r>
        <w:rPr>
          <w:rFonts w:eastAsia="方正仿宋_GBK"/>
          <w:b/>
          <w:bCs/>
          <w:sz w:val="32"/>
          <w:szCs w:val="32"/>
          <w:lang w:val="zh-CN"/>
        </w:rPr>
        <w:t>生态环境持续改善。</w:t>
      </w:r>
      <w:r>
        <w:rPr>
          <w:rFonts w:eastAsia="方正仿宋_GBK"/>
          <w:bCs/>
          <w:sz w:val="32"/>
          <w:szCs w:val="32"/>
          <w:lang w:val="zh-CN"/>
        </w:rPr>
        <w:t>全面实施蓝天、碧水、净土等7个污染防治专项行动，完成区域声环境功能区等7个环境保护专项规划编制，制定15个生态环境保护配套实施方案。开展白石江经开区段主河道清淤工程，全面提升河道水质，水环境市控监测断面达标率100%。空气质量持续优化，土壤环境安全可控，涉重金属指标含量均在国家标准限值范围内。</w:t>
      </w:r>
    </w:p>
    <w:p w14:paraId="10E2C0EA">
      <w:pPr>
        <w:pStyle w:val="3"/>
        <w:widowControl/>
        <w:spacing w:beforeLines="100" w:afterLines="100" w:line="240" w:lineRule="auto"/>
        <w:ind w:firstLine="640"/>
        <w:rPr>
          <w:szCs w:val="32"/>
          <w:lang w:val="en-US"/>
        </w:rPr>
      </w:pPr>
      <w:r>
        <w:rPr>
          <w:szCs w:val="32"/>
        </w:rPr>
        <w:br w:type="page"/>
      </w:r>
      <w:bookmarkStart w:id="8" w:name="_Toc11510"/>
      <w:bookmarkStart w:id="9" w:name="_Toc6738"/>
      <w:bookmarkStart w:id="10" w:name="_Toc14157"/>
      <w:bookmarkStart w:id="11" w:name="_Toc76716273"/>
      <w:bookmarkStart w:id="12" w:name="_Toc56500682"/>
      <w:bookmarkStart w:id="13" w:name="_Toc68592836"/>
      <w:bookmarkStart w:id="14" w:name="_Toc30933"/>
    </w:p>
    <w:p w14:paraId="21B97CC2">
      <w:pPr>
        <w:adjustRightInd w:val="0"/>
        <w:snapToGrid w:val="0"/>
        <w:spacing w:beforeLines="100" w:afterLines="100" w:line="600" w:lineRule="exact"/>
        <w:jc w:val="center"/>
        <w:rPr>
          <w:rFonts w:ascii="方正黑体_GBK" w:eastAsia="方正黑体_GBK"/>
          <w:sz w:val="32"/>
          <w:szCs w:val="32"/>
        </w:rPr>
      </w:pPr>
      <w:bookmarkStart w:id="15" w:name="_Toc81570092"/>
      <w:bookmarkStart w:id="16" w:name="_Toc81569996"/>
      <w:r>
        <w:rPr>
          <w:rFonts w:hint="eastAsia" w:ascii="方正黑体_GBK" w:eastAsia="方正黑体_GBK"/>
          <w:sz w:val="32"/>
          <w:szCs w:val="32"/>
        </w:rPr>
        <w:t>第二章  发展形势</w:t>
      </w:r>
      <w:bookmarkEnd w:id="15"/>
      <w:bookmarkEnd w:id="16"/>
    </w:p>
    <w:p w14:paraId="585CBB0E">
      <w:pPr>
        <w:widowControl/>
        <w:shd w:val="clear" w:color="auto" w:fill="FFFFFF"/>
        <w:adjustRightInd w:val="0"/>
        <w:snapToGrid w:val="0"/>
        <w:spacing w:line="600" w:lineRule="exact"/>
        <w:ind w:firstLine="640" w:firstLineChars="200"/>
        <w:rPr>
          <w:rFonts w:eastAsia="方正仿宋_GBK"/>
          <w:sz w:val="32"/>
          <w:szCs w:val="32"/>
        </w:rPr>
      </w:pPr>
      <w:r>
        <w:rPr>
          <w:rFonts w:eastAsia="方正仿宋_GBK"/>
          <w:sz w:val="32"/>
          <w:szCs w:val="32"/>
        </w:rPr>
        <w:t>“十四五”时期是我国全面建成小康社会、实现第一个百年奋斗目标之后，乘势而上开启全面建设社会主义现代化国家新征程、向第二个百年奋斗目标进军的第一个五年。曲靖经开区发展进入新阶段，发展环境发生深刻复杂变化，推动高质量发展和高水平开放面临新的机遇和挑战。</w:t>
      </w:r>
    </w:p>
    <w:p w14:paraId="6A971F68">
      <w:pPr>
        <w:widowControl/>
        <w:shd w:val="clear" w:color="auto" w:fill="FFFFFF"/>
        <w:adjustRightInd w:val="0"/>
        <w:snapToGrid w:val="0"/>
        <w:spacing w:line="600" w:lineRule="exact"/>
        <w:ind w:firstLine="640" w:firstLineChars="200"/>
        <w:rPr>
          <w:rFonts w:eastAsia="方正仿宋_GBK"/>
          <w:sz w:val="32"/>
          <w:szCs w:val="32"/>
        </w:rPr>
      </w:pPr>
      <w:r>
        <w:rPr>
          <w:rFonts w:eastAsia="方正仿宋_GBK"/>
          <w:sz w:val="32"/>
          <w:szCs w:val="32"/>
        </w:rPr>
        <w:t>从国际看，当今世界正经历百年未有之大变局，国际力量对比深刻调整，大国战略博弈全面加剧。新冠疫情冲击下全球经济衰退风险加剧</w:t>
      </w:r>
      <w:r>
        <w:rPr>
          <w:rFonts w:eastAsia="方正仿宋_GBK"/>
          <w:sz w:val="32"/>
          <w:szCs w:val="32"/>
          <w:lang w:val="zh-CN"/>
        </w:rPr>
        <w:t>，贸易和投资显著萎缩，各国均经历前所未有的危机。</w:t>
      </w:r>
      <w:r>
        <w:rPr>
          <w:rFonts w:eastAsia="方正仿宋_GBK"/>
          <w:sz w:val="32"/>
          <w:szCs w:val="32"/>
        </w:rPr>
        <w:t>受外部环境影响，东盟多国疫情应对措施和经济下行趋势短期内难以扭转。国际经贸规则体系面临重塑，经济全球化遭遇逆流，</w:t>
      </w:r>
      <w:r>
        <w:rPr>
          <w:rFonts w:eastAsia="方正仿宋_GBK"/>
          <w:sz w:val="32"/>
          <w:szCs w:val="32"/>
          <w:lang w:val="zh-CN"/>
        </w:rPr>
        <w:t>贸易保护主义上升，短期内以WTO为代表的多边贸易体系难以有效协调主要经济体之间的政策分化矛盾。但长期来看，</w:t>
      </w:r>
      <w:r>
        <w:rPr>
          <w:rFonts w:eastAsia="方正仿宋_GBK"/>
          <w:sz w:val="32"/>
          <w:szCs w:val="32"/>
        </w:rPr>
        <w:t>和平和发展仍是时代主题，人类命运共同体理念深入人心，区域合作将更加密切，</w:t>
      </w:r>
      <w:r>
        <w:rPr>
          <w:rFonts w:eastAsia="方正仿宋_GBK"/>
          <w:sz w:val="32"/>
          <w:szCs w:val="32"/>
          <w:lang w:val="zh-CN"/>
        </w:rPr>
        <w:t>RCEP等区域协定的签署为多边主义和自由贸易体制重回全球经济发展正轨带来积极影响，为全球经济复苏增添新活力、新动能。</w:t>
      </w:r>
      <w:r>
        <w:rPr>
          <w:rFonts w:eastAsia="方正仿宋_GBK"/>
          <w:sz w:val="32"/>
          <w:szCs w:val="32"/>
        </w:rPr>
        <w:t>新一轮科技革命蓬勃发展，技术引领不断强化，网上购物、在线教育、远程医疗等以互联网为基础的“非接触经济”全面提速，为经济发展提供了新路径。</w:t>
      </w:r>
      <w:r>
        <w:rPr>
          <w:rFonts w:eastAsia="方正仿宋_GBK"/>
          <w:sz w:val="32"/>
          <w:szCs w:val="32"/>
          <w:lang w:val="zh-CN"/>
        </w:rPr>
        <w:t>“十四五”期间，曲靖经开区</w:t>
      </w:r>
      <w:r>
        <w:rPr>
          <w:rFonts w:eastAsia="方正仿宋_GBK"/>
          <w:sz w:val="32"/>
          <w:szCs w:val="32"/>
        </w:rPr>
        <w:t>发展外向型经济将面临更多的挑战和压力，但总体上机遇大于挑战。</w:t>
      </w:r>
    </w:p>
    <w:p w14:paraId="7C0D1558">
      <w:pPr>
        <w:widowControl/>
        <w:shd w:val="clear" w:color="auto" w:fill="FFFFFF"/>
        <w:adjustRightInd w:val="0"/>
        <w:snapToGrid w:val="0"/>
        <w:spacing w:line="600" w:lineRule="exact"/>
        <w:ind w:firstLine="640" w:firstLineChars="200"/>
        <w:rPr>
          <w:rFonts w:eastAsia="方正仿宋_GBK"/>
          <w:sz w:val="32"/>
          <w:szCs w:val="32"/>
        </w:rPr>
      </w:pPr>
      <w:r>
        <w:rPr>
          <w:rFonts w:eastAsia="方正仿宋_GBK"/>
          <w:sz w:val="32"/>
          <w:szCs w:val="32"/>
        </w:rPr>
        <w:t>从国内看，我国已经转向高质量发展的新阶段，制度优势显著，治理效能提升，经济长期向好，开放持续扩大，正在加速构建以国内大循环为主，国内国际双循环相互促进的新格局，为经济社会发展带来多方面的优势和条件。我国稳步推进“一带一路”建设，搭建更多贸易促进平台，积极推动与相关国家经贸往来，贸易和投资规模稳步扩大，海外市场布局持续优化和拓展。我国始终坚持人与自然和谐共生，碳达峰、碳中和对于我国的绿色发展、科技创新以及大国责任提出了新的时代要求。“十四五”期间，曲靖经开区作为开放阵地和产业载体，将会面临更加广阔的市场空间以及更加自由的要素流通，在推进内需外需协调联动、对内对外双向开放以及新旧动能转换、践行绿色发展等方面将发挥更大作用。</w:t>
      </w:r>
    </w:p>
    <w:p w14:paraId="148EC2FD">
      <w:pPr>
        <w:spacing w:line="600" w:lineRule="exact"/>
        <w:ind w:firstLine="640" w:firstLineChars="200"/>
        <w:rPr>
          <w:rFonts w:eastAsia="方正仿宋_GBK"/>
          <w:sz w:val="32"/>
          <w:szCs w:val="32"/>
        </w:rPr>
      </w:pPr>
      <w:r>
        <w:rPr>
          <w:rFonts w:eastAsia="方正仿宋_GBK"/>
          <w:sz w:val="32"/>
          <w:szCs w:val="32"/>
        </w:rPr>
        <w:t>从省内看，云南省经济社会发展取得了重大进展，为“十四五”时期开启</w:t>
      </w:r>
      <w:r>
        <w:rPr>
          <w:rFonts w:hint="eastAsia" w:eastAsia="方正仿宋_GBK"/>
          <w:sz w:val="32"/>
          <w:szCs w:val="32"/>
        </w:rPr>
        <w:t>全面建设社会主义现代化国家新征程</w:t>
      </w:r>
      <w:r>
        <w:rPr>
          <w:rFonts w:eastAsia="方正仿宋_GBK"/>
          <w:sz w:val="32"/>
          <w:szCs w:val="32"/>
        </w:rPr>
        <w:t>打下良好基础。省内基础设施建设实现突破，现代国际物流体系和基础设施互联互通正在加快推进，云南省参与国内国际经济合作的竞争优势进一步增强。省产业结构不断优化，工业发展的格局发生根本性改变，新动能逐步形成，绿色能源优势日趋显现，服务业成为发展的重要支撑。贸易投资便利化水平不断提升，中国（云南）自由贸易试验区在跨境金融、跨境电商、跨境产能、跨境园区、跨境物流等多方面取得成效。同时，云南欠发达的基本省情并没有根本改变，发展方式仍然粗放，重点领域关键环节改革需要持续深化；</w:t>
      </w:r>
      <w:r>
        <w:rPr>
          <w:rFonts w:eastAsia="方正仿宋_GBK"/>
          <w:bCs/>
          <w:sz w:val="32"/>
          <w:szCs w:val="32"/>
          <w:lang w:val="zh-CN"/>
        </w:rPr>
        <w:t>曲靖经开区</w:t>
      </w:r>
      <w:r>
        <w:rPr>
          <w:rFonts w:eastAsia="方正仿宋_GBK"/>
          <w:bCs/>
          <w:sz w:val="32"/>
          <w:szCs w:val="32"/>
        </w:rPr>
        <w:t>自身</w:t>
      </w:r>
      <w:r>
        <w:rPr>
          <w:rFonts w:eastAsia="方正仿宋_GBK"/>
          <w:bCs/>
          <w:sz w:val="32"/>
          <w:szCs w:val="32"/>
          <w:lang w:val="zh-CN"/>
        </w:rPr>
        <w:t>发展也面临</w:t>
      </w:r>
      <w:r>
        <w:rPr>
          <w:rFonts w:eastAsia="方正仿宋_GBK"/>
          <w:bCs/>
          <w:sz w:val="32"/>
          <w:szCs w:val="32"/>
        </w:rPr>
        <w:t>诸多具体问题，</w:t>
      </w:r>
      <w:r>
        <w:rPr>
          <w:rFonts w:eastAsia="方正仿宋_GBK"/>
          <w:bCs/>
          <w:sz w:val="32"/>
          <w:szCs w:val="32"/>
          <w:lang w:val="zh-CN"/>
        </w:rPr>
        <w:t>产业发展质量待提高，对内对外开放</w:t>
      </w:r>
      <w:r>
        <w:rPr>
          <w:rFonts w:eastAsia="方正仿宋_GBK"/>
          <w:bCs/>
          <w:sz w:val="32"/>
          <w:szCs w:val="32"/>
        </w:rPr>
        <w:t>水平待提升</w:t>
      </w:r>
      <w:r>
        <w:rPr>
          <w:rFonts w:eastAsia="方正仿宋_GBK"/>
          <w:bCs/>
          <w:sz w:val="32"/>
          <w:szCs w:val="32"/>
          <w:lang w:val="zh-CN"/>
        </w:rPr>
        <w:t>，创新研发基础相对薄弱，环保压力较为严峻，制度改革的活力有待释放。尽管如此，曲靖经开区仍具备较大发展潜力，</w:t>
      </w:r>
      <w:r>
        <w:rPr>
          <w:rFonts w:eastAsia="方正仿宋_GBK"/>
          <w:sz w:val="32"/>
          <w:szCs w:val="32"/>
        </w:rPr>
        <w:t>作为云南省推动构建新发展格局的重要节点，经开区应坚持问题导向、目标导向和结果导向，准确把握战略机遇期内涵的深刻变化，合力开创高质量发展的新局面。</w:t>
      </w:r>
    </w:p>
    <w:p w14:paraId="7DAFB5FB">
      <w:pPr>
        <w:spacing w:before="50" w:after="50"/>
        <w:ind w:firstLine="640" w:firstLineChars="200"/>
        <w:rPr>
          <w:sz w:val="32"/>
          <w:szCs w:val="32"/>
        </w:rPr>
      </w:pPr>
    </w:p>
    <w:bookmarkEnd w:id="8"/>
    <w:bookmarkEnd w:id="9"/>
    <w:bookmarkEnd w:id="10"/>
    <w:p w14:paraId="5F189187">
      <w:pPr>
        <w:pStyle w:val="3"/>
        <w:widowControl/>
        <w:spacing w:beforeLines="100" w:afterLines="100" w:line="600" w:lineRule="exact"/>
        <w:rPr>
          <w:rFonts w:eastAsia="方正黑体_GBK"/>
          <w:szCs w:val="32"/>
          <w:lang w:val="en-US"/>
        </w:rPr>
      </w:pPr>
      <w:r>
        <w:rPr>
          <w:szCs w:val="32"/>
          <w:lang w:val="en-US"/>
        </w:rPr>
        <w:br w:type="page"/>
      </w:r>
      <w:bookmarkEnd w:id="11"/>
      <w:bookmarkEnd w:id="12"/>
      <w:bookmarkEnd w:id="13"/>
      <w:bookmarkEnd w:id="14"/>
      <w:bookmarkStart w:id="17" w:name="_Toc8683"/>
      <w:bookmarkStart w:id="18" w:name="_Toc68592840"/>
      <w:bookmarkStart w:id="19" w:name="_Toc81569997"/>
      <w:bookmarkStart w:id="20" w:name="_Toc26790"/>
      <w:bookmarkStart w:id="21" w:name="_Toc74645076"/>
      <w:bookmarkStart w:id="22" w:name="_Toc76716274"/>
      <w:bookmarkStart w:id="23" w:name="_Toc14292"/>
      <w:bookmarkStart w:id="24" w:name="_Toc81570093"/>
      <w:bookmarkStart w:id="25" w:name="_Toc13844"/>
      <w:bookmarkStart w:id="26" w:name="_Toc529925644"/>
      <w:bookmarkStart w:id="27" w:name="_Toc68592849"/>
      <w:bookmarkStart w:id="28" w:name="_Toc531245123"/>
      <w:r>
        <w:rPr>
          <w:rFonts w:eastAsia="方正黑体_GBK"/>
          <w:szCs w:val="32"/>
          <w:lang w:val="en-US"/>
        </w:rPr>
        <w:t>第三章  总体思路</w:t>
      </w:r>
      <w:bookmarkEnd w:id="17"/>
      <w:bookmarkEnd w:id="18"/>
      <w:bookmarkEnd w:id="19"/>
      <w:bookmarkEnd w:id="20"/>
      <w:bookmarkEnd w:id="21"/>
      <w:bookmarkEnd w:id="22"/>
      <w:bookmarkEnd w:id="23"/>
      <w:bookmarkEnd w:id="24"/>
      <w:bookmarkEnd w:id="25"/>
    </w:p>
    <w:p w14:paraId="5EA92B00">
      <w:pPr>
        <w:ind w:firstLine="640" w:firstLineChars="200"/>
        <w:rPr>
          <w:rFonts w:ascii="方正楷体_GBK" w:eastAsia="方正楷体_GBK"/>
          <w:b/>
          <w:sz w:val="32"/>
          <w:szCs w:val="32"/>
        </w:rPr>
      </w:pPr>
      <w:bookmarkStart w:id="29" w:name="_Toc29977"/>
      <w:bookmarkStart w:id="30" w:name="_Toc17253"/>
      <w:bookmarkStart w:id="31" w:name="_Toc10148"/>
      <w:bookmarkStart w:id="32" w:name="_Toc81570094"/>
      <w:bookmarkStart w:id="33" w:name="_Toc76716275"/>
      <w:bookmarkStart w:id="34" w:name="_Toc74645077"/>
      <w:bookmarkStart w:id="35" w:name="_Toc81569998"/>
      <w:bookmarkStart w:id="36" w:name="_Toc25215"/>
      <w:r>
        <w:rPr>
          <w:rFonts w:hint="eastAsia" w:ascii="方正楷体_GBK" w:eastAsia="方正楷体_GBK"/>
          <w:b/>
          <w:sz w:val="32"/>
          <w:szCs w:val="32"/>
        </w:rPr>
        <w:t>第一节  指导思想</w:t>
      </w:r>
      <w:bookmarkEnd w:id="29"/>
      <w:bookmarkEnd w:id="30"/>
      <w:bookmarkEnd w:id="31"/>
      <w:bookmarkEnd w:id="32"/>
      <w:bookmarkEnd w:id="33"/>
      <w:bookmarkEnd w:id="34"/>
      <w:bookmarkEnd w:id="35"/>
      <w:bookmarkEnd w:id="36"/>
    </w:p>
    <w:p w14:paraId="55620B89">
      <w:pPr>
        <w:spacing w:line="600" w:lineRule="exact"/>
        <w:ind w:firstLine="640" w:firstLineChars="200"/>
        <w:rPr>
          <w:rFonts w:eastAsia="方正仿宋_GBK"/>
          <w:bCs/>
          <w:sz w:val="32"/>
          <w:szCs w:val="32"/>
          <w:lang w:val="zh-CN"/>
        </w:rPr>
      </w:pPr>
      <w:r>
        <w:rPr>
          <w:rFonts w:eastAsia="方正仿宋_GBK"/>
          <w:bCs/>
          <w:sz w:val="32"/>
          <w:szCs w:val="32"/>
          <w:lang w:val="zh-CN"/>
        </w:rPr>
        <w:t>高举习近平新时代中国特色社会主义思想伟大旗帜，深入贯彻党的十九大和十九届二中、三中、四中、五中、六中全会精神，全面贯彻落实习近平总书记考察云南重要讲话精神和党的基本理论、基本路线、基本方略，立足新发展阶段，深入坚定不移</w:t>
      </w:r>
      <w:r>
        <w:rPr>
          <w:rFonts w:eastAsia="方正仿宋_GBK"/>
          <w:bCs/>
          <w:sz w:val="32"/>
          <w:szCs w:val="32"/>
        </w:rPr>
        <w:t>地</w:t>
      </w:r>
      <w:r>
        <w:rPr>
          <w:rFonts w:eastAsia="方正仿宋_GBK"/>
          <w:bCs/>
          <w:sz w:val="32"/>
          <w:szCs w:val="32"/>
          <w:lang w:val="zh-CN"/>
        </w:rPr>
        <w:t>贯彻创新、协调、绿色、开放、共享的新发展理念，坚持稳中求进工作总基调，以推动高质量发展为主题，以满足人民日益增长的美好生活需要为根本目的，以深化供给侧结构性改革为主线，坚持科技创新驱动，完善现代产业体系，</w:t>
      </w:r>
      <w:r>
        <w:rPr>
          <w:rFonts w:eastAsia="方正仿宋_GBK"/>
          <w:bCs/>
          <w:sz w:val="32"/>
          <w:szCs w:val="32"/>
        </w:rPr>
        <w:t>提升对内对外开放水平，推进绿色集约发展，推动产城深度融合，优化营商</w:t>
      </w:r>
      <w:r>
        <w:rPr>
          <w:rFonts w:eastAsia="方正仿宋_GBK"/>
          <w:bCs/>
          <w:sz w:val="32"/>
          <w:szCs w:val="32"/>
          <w:lang w:val="zh-CN"/>
        </w:rPr>
        <w:t>环境，加快融入以国内大循环为主体、国内国际双循环相互促进的新发展格局，把经开区打造成全省先进制造基地、创新驱动示范区、绿色集约发展示范区、产城融合示范区和开放型经济先行区，</w:t>
      </w:r>
      <w:r>
        <w:rPr>
          <w:rFonts w:eastAsia="方正仿宋_GBK"/>
          <w:bCs/>
          <w:sz w:val="32"/>
          <w:szCs w:val="32"/>
        </w:rPr>
        <w:t>实现经开区</w:t>
      </w:r>
      <w:r>
        <w:rPr>
          <w:rFonts w:eastAsia="方正仿宋_GBK"/>
          <w:bCs/>
          <w:sz w:val="32"/>
          <w:szCs w:val="32"/>
          <w:lang w:val="zh-CN"/>
        </w:rPr>
        <w:t>高质量跨越式发展。</w:t>
      </w:r>
    </w:p>
    <w:p w14:paraId="6BF1319B">
      <w:pPr>
        <w:ind w:firstLine="640" w:firstLineChars="200"/>
        <w:rPr>
          <w:rFonts w:ascii="方正楷体_GBK" w:eastAsia="方正楷体_GBK"/>
          <w:b/>
          <w:sz w:val="32"/>
          <w:szCs w:val="32"/>
        </w:rPr>
      </w:pPr>
      <w:bookmarkStart w:id="37" w:name="_Toc23520"/>
      <w:bookmarkStart w:id="38" w:name="_Toc10344"/>
      <w:bookmarkStart w:id="39" w:name="_Toc76716276"/>
      <w:bookmarkStart w:id="40" w:name="_Toc4076"/>
      <w:bookmarkStart w:id="41" w:name="_Toc81570095"/>
      <w:bookmarkStart w:id="42" w:name="_Toc74645078"/>
      <w:bookmarkStart w:id="43" w:name="_Toc68592842"/>
      <w:bookmarkStart w:id="44" w:name="_Toc21815"/>
      <w:bookmarkStart w:id="45" w:name="_Toc10013"/>
      <w:bookmarkStart w:id="46" w:name="_Toc81569999"/>
      <w:r>
        <w:rPr>
          <w:rFonts w:ascii="方正楷体_GBK" w:eastAsia="方正楷体_GBK"/>
          <w:b/>
          <w:sz w:val="32"/>
          <w:szCs w:val="32"/>
        </w:rPr>
        <w:t>第二节  基本原则</w:t>
      </w:r>
      <w:bookmarkEnd w:id="37"/>
      <w:bookmarkEnd w:id="38"/>
      <w:bookmarkEnd w:id="39"/>
      <w:bookmarkEnd w:id="40"/>
      <w:bookmarkEnd w:id="41"/>
      <w:bookmarkEnd w:id="42"/>
      <w:bookmarkEnd w:id="43"/>
      <w:bookmarkEnd w:id="44"/>
      <w:bookmarkEnd w:id="45"/>
      <w:bookmarkEnd w:id="46"/>
      <w:bookmarkStart w:id="47" w:name="_Toc20537"/>
      <w:bookmarkStart w:id="48" w:name="_Toc68592843"/>
    </w:p>
    <w:p w14:paraId="0D679A9D">
      <w:pPr>
        <w:spacing w:line="600" w:lineRule="exact"/>
        <w:ind w:firstLine="640" w:firstLineChars="200"/>
        <w:rPr>
          <w:rFonts w:eastAsia="方正仿宋_GBK"/>
          <w:bCs/>
          <w:sz w:val="32"/>
          <w:szCs w:val="32"/>
          <w:lang w:val="zh-CN"/>
        </w:rPr>
      </w:pPr>
      <w:r>
        <w:rPr>
          <w:rFonts w:eastAsia="方正仿宋_GBK"/>
          <w:b/>
          <w:bCs/>
          <w:sz w:val="32"/>
          <w:szCs w:val="32"/>
          <w:lang w:val="zh-CN"/>
        </w:rPr>
        <w:t>——坚持党的全面领导。</w:t>
      </w:r>
      <w:r>
        <w:rPr>
          <w:rFonts w:eastAsia="方正仿宋_GBK"/>
          <w:bCs/>
          <w:sz w:val="32"/>
          <w:szCs w:val="32"/>
          <w:lang w:val="zh-CN"/>
        </w:rPr>
        <w:t>全面贯彻习近平新时代中国特色社会主义思想和习近平总书记考察云南重要讲话精神，坚决执行维护党中央权威和集中统一领导的各项制度，始终同以习近平同志为核心的党中央保持高度一致，坚持和完善党领导</w:t>
      </w:r>
      <w:r>
        <w:rPr>
          <w:rFonts w:eastAsia="方正仿宋_GBK"/>
          <w:bCs/>
          <w:sz w:val="32"/>
          <w:szCs w:val="32"/>
        </w:rPr>
        <w:t>经开区</w:t>
      </w:r>
      <w:r>
        <w:rPr>
          <w:rFonts w:eastAsia="方正仿宋_GBK"/>
          <w:bCs/>
          <w:sz w:val="32"/>
          <w:szCs w:val="32"/>
          <w:lang w:val="zh-CN"/>
        </w:rPr>
        <w:t>发展的体制机制，为实现经开区高质量发展提供根本保证。</w:t>
      </w:r>
    </w:p>
    <w:p w14:paraId="5D15D3CD">
      <w:pPr>
        <w:spacing w:line="600" w:lineRule="exact"/>
        <w:ind w:firstLine="640" w:firstLineChars="200"/>
        <w:rPr>
          <w:rFonts w:eastAsia="方正仿宋_GBK"/>
          <w:bCs/>
          <w:sz w:val="32"/>
          <w:szCs w:val="32"/>
          <w:lang w:val="zh-CN"/>
        </w:rPr>
      </w:pPr>
      <w:r>
        <w:rPr>
          <w:rFonts w:eastAsia="方正仿宋_GBK"/>
          <w:b/>
          <w:bCs/>
          <w:sz w:val="32"/>
          <w:szCs w:val="32"/>
          <w:lang w:val="zh-CN"/>
        </w:rPr>
        <w:t>——坚持以人民为中心。</w:t>
      </w:r>
      <w:r>
        <w:rPr>
          <w:rFonts w:eastAsia="方正仿宋_GBK"/>
          <w:bCs/>
          <w:sz w:val="32"/>
          <w:szCs w:val="32"/>
          <w:lang w:val="zh-CN"/>
        </w:rPr>
        <w:t>以人民对美好生活的需要作为经开区发展的基本导向和根本目的。推进产城深度融合，完善基础设施建设，全面提高城市治理能力，实施乡村振兴和新型城镇化发展战略，加快形成共建共享格局，增强获得感、幸福感和认同感。</w:t>
      </w:r>
      <w:bookmarkEnd w:id="47"/>
      <w:bookmarkEnd w:id="48"/>
    </w:p>
    <w:p w14:paraId="1C5D3E31">
      <w:pPr>
        <w:spacing w:line="600" w:lineRule="exact"/>
        <w:ind w:firstLine="640" w:firstLineChars="200"/>
        <w:rPr>
          <w:rFonts w:eastAsia="方正仿宋_GBK"/>
          <w:bCs/>
          <w:sz w:val="32"/>
          <w:szCs w:val="32"/>
          <w:lang w:val="zh-CN"/>
        </w:rPr>
      </w:pPr>
      <w:r>
        <w:rPr>
          <w:rFonts w:eastAsia="方正仿宋_GBK"/>
          <w:b/>
          <w:bCs/>
          <w:sz w:val="32"/>
          <w:szCs w:val="32"/>
          <w:lang w:val="zh-CN"/>
        </w:rPr>
        <w:t>——坚持新发展理念。</w:t>
      </w:r>
      <w:r>
        <w:rPr>
          <w:rFonts w:eastAsia="方正仿宋_GBK"/>
          <w:bCs/>
          <w:sz w:val="32"/>
          <w:szCs w:val="32"/>
          <w:lang w:val="zh-CN"/>
        </w:rPr>
        <w:t>把创新、协调、绿色、开放、共享的新发展理念贯穿于发展全过程和各领域，不断提高贯彻新发展理念、融入新发展格局的能力和水平。把握数字化、网络化、智能化发展机遇，推动新技术、新产业、新业态和新模式的探索和应用，切实转变发展方式，推动质量变革、效率变革、动力变革。坚持集约集聚发展，发挥环境保护优化经济发展的综合作用，实现更高质量、更有效率、更可持续、更为安全的发展。</w:t>
      </w:r>
    </w:p>
    <w:p w14:paraId="65F6E51A">
      <w:pPr>
        <w:spacing w:line="600" w:lineRule="exact"/>
        <w:ind w:firstLine="640" w:firstLineChars="200"/>
        <w:rPr>
          <w:rFonts w:eastAsia="方正仿宋_GBK"/>
          <w:bCs/>
          <w:sz w:val="32"/>
          <w:szCs w:val="32"/>
          <w:lang w:val="zh-CN"/>
        </w:rPr>
      </w:pPr>
      <w:r>
        <w:rPr>
          <w:rFonts w:eastAsia="方正仿宋_GBK"/>
          <w:b/>
          <w:bCs/>
          <w:sz w:val="32"/>
          <w:szCs w:val="32"/>
          <w:lang w:val="zh-CN"/>
        </w:rPr>
        <w:t>——坚持深化改革开放。</w:t>
      </w:r>
      <w:r>
        <w:rPr>
          <w:rFonts w:eastAsia="方正仿宋_GBK"/>
          <w:bCs/>
          <w:sz w:val="32"/>
          <w:szCs w:val="32"/>
          <w:lang w:val="zh-CN"/>
        </w:rPr>
        <w:t>坚定不移推进改革，坚定不移扩大开放。充分发挥市场在资源配置中的决定性作用，推动有效市场和有为政府更好结合，将改革不断向纵深推进，持续增强发展动力和活力。积极参与共建“一带一路”，深度融入新时代西部大开发战略和云南省建设面向南亚东南亚辐射中心工作中，对内整合资源，对外强化联动，构建全方位、立体化的开放格局。</w:t>
      </w:r>
    </w:p>
    <w:p w14:paraId="0F044024">
      <w:pPr>
        <w:spacing w:line="600" w:lineRule="exact"/>
        <w:ind w:firstLine="640" w:firstLineChars="200"/>
        <w:rPr>
          <w:rFonts w:eastAsia="方正仿宋_GBK"/>
          <w:bCs/>
          <w:sz w:val="32"/>
          <w:szCs w:val="32"/>
          <w:lang w:val="zh-CN"/>
        </w:rPr>
      </w:pPr>
      <w:r>
        <w:rPr>
          <w:rFonts w:eastAsia="方正仿宋_GBK"/>
          <w:b/>
          <w:bCs/>
          <w:sz w:val="32"/>
          <w:szCs w:val="32"/>
          <w:lang w:val="zh-CN"/>
        </w:rPr>
        <w:t>——坚持系统观念。</w:t>
      </w:r>
      <w:r>
        <w:rPr>
          <w:rFonts w:eastAsia="方正仿宋_GBK"/>
          <w:bCs/>
          <w:sz w:val="32"/>
          <w:szCs w:val="32"/>
          <w:lang w:val="zh-CN"/>
        </w:rPr>
        <w:t>加强前瞻性思考、全局性谋划、战略性布局、整体性推进，统筹融入国内大循环、国内国际双循环新发展格局，着力固根基、扬优势、补短板、强弱项，注重防范化解重大风险挑战，实现发展质量、结构、规模、速度、效益、安全相统一。</w:t>
      </w:r>
    </w:p>
    <w:p w14:paraId="23962597">
      <w:pPr>
        <w:pStyle w:val="3"/>
        <w:widowControl/>
        <w:spacing w:beforeLines="100" w:afterLines="100" w:line="600" w:lineRule="exact"/>
        <w:rPr>
          <w:rFonts w:eastAsia="方正黑体_GBK"/>
          <w:szCs w:val="32"/>
          <w:lang w:val="en-US"/>
        </w:rPr>
      </w:pPr>
      <w:r>
        <w:rPr>
          <w:rFonts w:eastAsia="仿宋_GB2312"/>
          <w:bCs w:val="0"/>
          <w:szCs w:val="32"/>
        </w:rPr>
        <w:br w:type="page"/>
      </w:r>
      <w:bookmarkStart w:id="49" w:name="_Toc23039"/>
      <w:bookmarkStart w:id="50" w:name="_Toc81570000"/>
      <w:bookmarkStart w:id="51" w:name="_Toc81570096"/>
      <w:bookmarkStart w:id="52" w:name="_Toc19902"/>
      <w:bookmarkStart w:id="53" w:name="_Toc74645079"/>
      <w:bookmarkStart w:id="54" w:name="_Toc1077"/>
      <w:bookmarkStart w:id="55" w:name="_Toc76716277"/>
      <w:bookmarkStart w:id="56" w:name="_Toc6043"/>
      <w:r>
        <w:rPr>
          <w:rFonts w:eastAsia="方正黑体_GBK"/>
          <w:szCs w:val="32"/>
          <w:lang w:val="en-US"/>
        </w:rPr>
        <w:t>第四章 发展目标</w:t>
      </w:r>
      <w:bookmarkEnd w:id="49"/>
      <w:bookmarkEnd w:id="50"/>
      <w:bookmarkEnd w:id="51"/>
      <w:bookmarkEnd w:id="52"/>
      <w:bookmarkEnd w:id="53"/>
      <w:bookmarkEnd w:id="54"/>
      <w:bookmarkEnd w:id="55"/>
      <w:bookmarkEnd w:id="56"/>
    </w:p>
    <w:p w14:paraId="5F2B1C28">
      <w:pPr>
        <w:spacing w:line="600" w:lineRule="exact"/>
        <w:ind w:firstLine="640" w:firstLineChars="200"/>
        <w:rPr>
          <w:rFonts w:ascii="方正楷体_GBK" w:eastAsia="方正楷体_GBK"/>
          <w:b/>
          <w:sz w:val="32"/>
          <w:szCs w:val="32"/>
        </w:rPr>
      </w:pPr>
      <w:bookmarkStart w:id="57" w:name="_Toc13526"/>
      <w:bookmarkStart w:id="58" w:name="_Toc81570001"/>
      <w:bookmarkStart w:id="59" w:name="_Toc74662820"/>
      <w:bookmarkStart w:id="60" w:name="_Toc81570097"/>
      <w:bookmarkStart w:id="61" w:name="_Toc1085"/>
      <w:bookmarkStart w:id="62" w:name="_Toc29207"/>
      <w:bookmarkStart w:id="63" w:name="_Toc68592847"/>
      <w:bookmarkStart w:id="64" w:name="_Toc76716278"/>
      <w:bookmarkStart w:id="65" w:name="_Toc74645080"/>
      <w:bookmarkStart w:id="66" w:name="_Toc19656"/>
      <w:bookmarkStart w:id="67" w:name="_Toc14677"/>
      <w:r>
        <w:rPr>
          <w:rFonts w:ascii="方正楷体_GBK" w:eastAsia="方正楷体_GBK"/>
          <w:b/>
          <w:sz w:val="32"/>
          <w:szCs w:val="32"/>
        </w:rPr>
        <w:t>第一节  “十四五”期间发展目标</w:t>
      </w:r>
      <w:bookmarkEnd w:id="57"/>
      <w:bookmarkEnd w:id="58"/>
      <w:bookmarkEnd w:id="59"/>
      <w:bookmarkEnd w:id="60"/>
      <w:bookmarkEnd w:id="61"/>
      <w:bookmarkEnd w:id="62"/>
    </w:p>
    <w:p w14:paraId="3FD8CE8E">
      <w:pPr>
        <w:spacing w:line="600" w:lineRule="exact"/>
        <w:ind w:firstLine="640" w:firstLineChars="200"/>
        <w:rPr>
          <w:rFonts w:eastAsia="方正仿宋_GBK"/>
          <w:bCs/>
          <w:sz w:val="32"/>
          <w:szCs w:val="32"/>
          <w:lang w:val="zh-CN"/>
        </w:rPr>
      </w:pPr>
      <w:r>
        <w:rPr>
          <w:rFonts w:eastAsia="方正仿宋_GBK"/>
          <w:bCs/>
          <w:sz w:val="32"/>
          <w:szCs w:val="32"/>
          <w:lang w:val="zh-CN"/>
        </w:rPr>
        <w:t>“十四五”期间，曲靖经开区立足发展基础，</w:t>
      </w:r>
      <w:r>
        <w:rPr>
          <w:rFonts w:hint="eastAsia" w:eastAsia="方正仿宋_GBK"/>
          <w:bCs/>
          <w:sz w:val="32"/>
          <w:szCs w:val="32"/>
        </w:rPr>
        <w:t>坚持问题导向与目标导向相结合，着力提升</w:t>
      </w:r>
      <w:r>
        <w:rPr>
          <w:rFonts w:eastAsia="方正仿宋_GBK"/>
          <w:bCs/>
          <w:sz w:val="32"/>
          <w:szCs w:val="32"/>
        </w:rPr>
        <w:t>综合竞争力</w:t>
      </w:r>
      <w:r>
        <w:rPr>
          <w:rFonts w:hint="eastAsia" w:eastAsia="方正仿宋_GBK"/>
          <w:bCs/>
          <w:sz w:val="32"/>
          <w:szCs w:val="32"/>
        </w:rPr>
        <w:t>，力争</w:t>
      </w:r>
      <w:r>
        <w:rPr>
          <w:rFonts w:hint="eastAsia" w:eastAsia="方正仿宋_GBK"/>
          <w:bCs/>
          <w:sz w:val="32"/>
          <w:szCs w:val="32"/>
          <w:lang w:val="zh-CN"/>
        </w:rPr>
        <w:t>到“十四五”末，曲靖经开区发展水平达到国家级经开区中等偏上、西部一流、云南省前列水平。具体目标包括：</w:t>
      </w:r>
    </w:p>
    <w:p w14:paraId="4A2A5DCC">
      <w:pPr>
        <w:spacing w:line="600" w:lineRule="exact"/>
        <w:ind w:firstLine="640" w:firstLineChars="200"/>
        <w:rPr>
          <w:rFonts w:eastAsia="方正仿宋_GBK"/>
          <w:bCs/>
          <w:sz w:val="32"/>
          <w:szCs w:val="32"/>
          <w:lang w:val="zh-CN"/>
        </w:rPr>
      </w:pPr>
      <w:r>
        <w:rPr>
          <w:rFonts w:eastAsia="方正仿宋_GBK"/>
          <w:b/>
          <w:bCs/>
          <w:sz w:val="32"/>
          <w:szCs w:val="32"/>
          <w:lang w:val="zh-CN"/>
        </w:rPr>
        <w:t>——</w:t>
      </w:r>
      <w:r>
        <w:rPr>
          <w:rFonts w:eastAsia="方正仿宋_GBK"/>
          <w:b/>
          <w:bCs/>
          <w:sz w:val="32"/>
          <w:szCs w:val="32"/>
        </w:rPr>
        <w:t>经济实力进一步提升</w:t>
      </w:r>
      <w:r>
        <w:rPr>
          <w:rFonts w:eastAsia="方正仿宋_GBK"/>
          <w:b/>
          <w:bCs/>
          <w:sz w:val="32"/>
          <w:szCs w:val="32"/>
          <w:lang w:val="zh-CN"/>
        </w:rPr>
        <w:t>。</w:t>
      </w:r>
      <w:r>
        <w:rPr>
          <w:rFonts w:eastAsia="方正仿宋_GBK"/>
          <w:bCs/>
          <w:sz w:val="32"/>
          <w:szCs w:val="32"/>
        </w:rPr>
        <w:t>力争</w:t>
      </w:r>
      <w:r>
        <w:rPr>
          <w:rFonts w:eastAsia="方正仿宋_GBK"/>
          <w:bCs/>
          <w:sz w:val="32"/>
          <w:szCs w:val="32"/>
          <w:lang w:val="zh-CN"/>
        </w:rPr>
        <w:t>到2025年</w:t>
      </w:r>
      <w:r>
        <w:rPr>
          <w:rFonts w:eastAsia="方正仿宋_GBK"/>
          <w:bCs/>
          <w:sz w:val="32"/>
          <w:szCs w:val="32"/>
        </w:rPr>
        <w:t>末</w:t>
      </w:r>
      <w:r>
        <w:rPr>
          <w:rFonts w:eastAsia="方正仿宋_GBK"/>
          <w:bCs/>
          <w:sz w:val="32"/>
          <w:szCs w:val="32"/>
          <w:lang w:val="zh-CN"/>
        </w:rPr>
        <w:t>，</w:t>
      </w:r>
      <w:r>
        <w:rPr>
          <w:rFonts w:eastAsia="方正仿宋_GBK"/>
          <w:bCs/>
          <w:sz w:val="32"/>
          <w:szCs w:val="32"/>
        </w:rPr>
        <w:t>经开区</w:t>
      </w:r>
      <w:r>
        <w:rPr>
          <w:rFonts w:eastAsia="方正仿宋_GBK"/>
          <w:bCs/>
          <w:sz w:val="32"/>
          <w:szCs w:val="32"/>
          <w:lang w:val="zh-CN"/>
        </w:rPr>
        <w:t>在地区经济发展中的</w:t>
      </w:r>
      <w:r>
        <w:rPr>
          <w:rFonts w:eastAsia="方正仿宋_GBK"/>
          <w:bCs/>
          <w:sz w:val="32"/>
          <w:szCs w:val="32"/>
        </w:rPr>
        <w:t>带动作用进一步显现：</w:t>
      </w:r>
      <w:r>
        <w:rPr>
          <w:rFonts w:eastAsia="方正仿宋_GBK"/>
          <w:bCs/>
          <w:sz w:val="32"/>
          <w:szCs w:val="32"/>
          <w:lang w:val="zh-CN"/>
        </w:rPr>
        <w:t>实现经开区</w:t>
      </w:r>
      <w:r>
        <w:rPr>
          <w:rFonts w:eastAsia="方正仿宋_GBK"/>
          <w:bCs/>
          <w:sz w:val="32"/>
          <w:szCs w:val="32"/>
        </w:rPr>
        <w:t>区内</w:t>
      </w:r>
      <w:r>
        <w:rPr>
          <w:rFonts w:eastAsia="方正仿宋_GBK"/>
          <w:bCs/>
          <w:sz w:val="32"/>
          <w:szCs w:val="32"/>
          <w:lang w:val="zh-CN"/>
        </w:rPr>
        <w:t>生产总值（GDP）达到320亿元，年均增长15%；规模以上固定资产投资达到185亿元，年均增长18%；规模以上固定资产投资累计达711亿元；工业总产值达到1000亿元，年均增长30%；规模以上工业增加值达到202亿元，年均增长25%；主营业务收入达1500亿元，税收收入达14亿元，年均增长8.56%，地方公共财政预算收入达到15亿元，年均增长8.56％；社会消费品零售总额达到100亿元，年均增长12.5%。</w:t>
      </w:r>
    </w:p>
    <w:p w14:paraId="0D420D6E">
      <w:pPr>
        <w:spacing w:line="600" w:lineRule="exact"/>
        <w:ind w:firstLine="640" w:firstLineChars="200"/>
        <w:rPr>
          <w:rFonts w:eastAsia="方正仿宋_GBK"/>
          <w:bCs/>
          <w:sz w:val="32"/>
          <w:szCs w:val="32"/>
          <w:lang w:val="zh-CN"/>
        </w:rPr>
      </w:pPr>
      <w:r>
        <w:rPr>
          <w:rFonts w:eastAsia="方正仿宋_GBK"/>
          <w:b/>
          <w:bCs/>
          <w:sz w:val="32"/>
          <w:szCs w:val="32"/>
          <w:lang w:val="zh-CN"/>
        </w:rPr>
        <w:t>——现代产业体系形成。</w:t>
      </w:r>
      <w:r>
        <w:rPr>
          <w:rFonts w:eastAsia="方正仿宋_GBK"/>
          <w:bCs/>
          <w:sz w:val="32"/>
          <w:szCs w:val="32"/>
          <w:lang w:val="zh-CN"/>
        </w:rPr>
        <w:t>到2025年</w:t>
      </w:r>
      <w:r>
        <w:rPr>
          <w:rFonts w:eastAsia="方正仿宋_GBK"/>
          <w:bCs/>
          <w:sz w:val="32"/>
          <w:szCs w:val="32"/>
        </w:rPr>
        <w:t>末</w:t>
      </w:r>
      <w:r>
        <w:rPr>
          <w:rFonts w:eastAsia="方正仿宋_GBK"/>
          <w:bCs/>
          <w:sz w:val="32"/>
          <w:szCs w:val="32"/>
          <w:lang w:val="zh-CN"/>
        </w:rPr>
        <w:t>，硅光伏、新能源电池、数字经济等优势产业取得突破性进展，集聚一批具有世界影响力的</w:t>
      </w:r>
      <w:r>
        <w:rPr>
          <w:rFonts w:eastAsia="方正仿宋_GBK"/>
          <w:bCs/>
          <w:sz w:val="32"/>
          <w:szCs w:val="32"/>
        </w:rPr>
        <w:t>产业链龙头</w:t>
      </w:r>
      <w:r>
        <w:rPr>
          <w:rFonts w:eastAsia="方正仿宋_GBK"/>
          <w:bCs/>
          <w:sz w:val="32"/>
          <w:szCs w:val="32"/>
          <w:lang w:val="zh-CN"/>
        </w:rPr>
        <w:t>企业，形成</w:t>
      </w:r>
      <w:r>
        <w:rPr>
          <w:rFonts w:eastAsia="方正仿宋_GBK"/>
          <w:bCs/>
          <w:sz w:val="32"/>
          <w:szCs w:val="32"/>
        </w:rPr>
        <w:t>2个</w:t>
      </w:r>
      <w:r>
        <w:rPr>
          <w:rFonts w:eastAsia="方正仿宋_GBK"/>
          <w:bCs/>
          <w:sz w:val="32"/>
          <w:szCs w:val="32"/>
          <w:lang w:val="zh-CN"/>
        </w:rPr>
        <w:t>千亿级</w:t>
      </w:r>
      <w:r>
        <w:rPr>
          <w:rFonts w:eastAsia="方正仿宋_GBK"/>
          <w:bCs/>
          <w:sz w:val="32"/>
          <w:szCs w:val="32"/>
        </w:rPr>
        <w:t>产业园区和1个百亿级</w:t>
      </w:r>
      <w:r>
        <w:rPr>
          <w:rFonts w:eastAsia="方正仿宋_GBK"/>
          <w:bCs/>
          <w:sz w:val="32"/>
          <w:szCs w:val="32"/>
          <w:lang w:val="zh-CN"/>
        </w:rPr>
        <w:t>产业园区。产业智能化水平明显提升，优势产业重点企业工业互联网5G使用覆盖范围大幅提升，力争建成国家新型工业化产业示范基地。</w:t>
      </w:r>
    </w:p>
    <w:p w14:paraId="691D4C5C">
      <w:pPr>
        <w:pStyle w:val="2"/>
        <w:spacing w:after="0"/>
        <w:ind w:firstLine="640" w:firstLineChars="200"/>
        <w:rPr>
          <w:lang w:val="zh-CN"/>
        </w:rPr>
      </w:pPr>
      <w:r>
        <w:rPr>
          <w:rFonts w:ascii="Times New Roman" w:hAnsi="Times New Roman" w:eastAsia="方正仿宋_GBK"/>
          <w:b/>
          <w:bCs/>
          <w:sz w:val="32"/>
          <w:szCs w:val="32"/>
          <w:lang w:val="zh-CN"/>
        </w:rPr>
        <w:t>——</w:t>
      </w:r>
      <w:r>
        <w:rPr>
          <w:rFonts w:eastAsia="方正仿宋_GBK"/>
          <w:b/>
          <w:bCs/>
          <w:sz w:val="32"/>
          <w:szCs w:val="32"/>
          <w:lang w:val="zh-CN"/>
        </w:rPr>
        <w:t>绿色园区建设成效显著。</w:t>
      </w:r>
      <w:r>
        <w:rPr>
          <w:rFonts w:eastAsia="方正仿宋_GBK"/>
          <w:bCs/>
          <w:sz w:val="32"/>
          <w:szCs w:val="32"/>
          <w:lang w:val="zh-CN"/>
        </w:rPr>
        <w:t>到2025年</w:t>
      </w:r>
      <w:r>
        <w:rPr>
          <w:rFonts w:eastAsia="方正仿宋_GBK"/>
          <w:bCs/>
          <w:sz w:val="32"/>
          <w:szCs w:val="32"/>
        </w:rPr>
        <w:t>末</w:t>
      </w:r>
      <w:r>
        <w:rPr>
          <w:rFonts w:eastAsia="方正仿宋_GBK"/>
          <w:bCs/>
          <w:sz w:val="32"/>
          <w:szCs w:val="32"/>
          <w:lang w:val="zh-CN"/>
        </w:rPr>
        <w:t>，经开区产业园区绿色化、低碳化、集约化发展持续深入，产业结构持续优化提升，建成国家级生态工业示范区、全省绿色能源和绿色先进制造业深度融合发展示范区、绿色产业园区及低碳产业园区。</w:t>
      </w:r>
      <w:r>
        <w:rPr>
          <w:rFonts w:hint="eastAsia" w:eastAsia="方正仿宋_GBK"/>
          <w:bCs/>
          <w:sz w:val="32"/>
          <w:szCs w:val="32"/>
        </w:rPr>
        <w:t>区内硅光伏、新能源电池两大主导产业产能规模稳步扩大，产业配套不断完善，产业链条不断延伸，产业集群化、聚集化发展，产值规模和发展质效均处于全球领先地位，到2025年末建成“世界光伏之都”核心区和国内一流的新能源电池产业基地。</w:t>
      </w:r>
    </w:p>
    <w:p w14:paraId="6754CBC4">
      <w:pPr>
        <w:spacing w:line="600" w:lineRule="exact"/>
        <w:ind w:firstLine="640" w:firstLineChars="200"/>
        <w:rPr>
          <w:rFonts w:eastAsia="方正仿宋_GBK"/>
          <w:bCs/>
          <w:sz w:val="32"/>
          <w:szCs w:val="32"/>
        </w:rPr>
      </w:pPr>
      <w:r>
        <w:rPr>
          <w:rFonts w:eastAsia="方正仿宋_GBK"/>
          <w:b/>
          <w:bCs/>
          <w:sz w:val="32"/>
          <w:szCs w:val="32"/>
          <w:lang w:val="zh-CN"/>
        </w:rPr>
        <w:t>——科技创新能力提高。</w:t>
      </w:r>
      <w:r>
        <w:rPr>
          <w:rFonts w:eastAsia="方正仿宋_GBK"/>
          <w:bCs/>
          <w:sz w:val="32"/>
          <w:szCs w:val="32"/>
          <w:lang w:val="zh-CN"/>
        </w:rPr>
        <w:t>到2025年</w:t>
      </w:r>
      <w:r>
        <w:rPr>
          <w:rFonts w:eastAsia="方正仿宋_GBK"/>
          <w:bCs/>
          <w:sz w:val="32"/>
          <w:szCs w:val="32"/>
        </w:rPr>
        <w:t>末</w:t>
      </w:r>
      <w:r>
        <w:rPr>
          <w:rFonts w:eastAsia="方正仿宋_GBK"/>
          <w:bCs/>
          <w:sz w:val="32"/>
          <w:szCs w:val="32"/>
          <w:lang w:val="zh-CN"/>
        </w:rPr>
        <w:t>，</w:t>
      </w:r>
      <w:r>
        <w:rPr>
          <w:rFonts w:eastAsia="方正仿宋_GBK"/>
          <w:bCs/>
          <w:sz w:val="32"/>
          <w:szCs w:val="32"/>
        </w:rPr>
        <w:t>经开区</w:t>
      </w:r>
      <w:r>
        <w:rPr>
          <w:rFonts w:eastAsia="方正仿宋_GBK"/>
          <w:bCs/>
          <w:sz w:val="32"/>
          <w:szCs w:val="32"/>
          <w:lang w:val="zh-CN"/>
        </w:rPr>
        <w:t>科技创新实力显著增强，建成科技创新优势突出、体系协同高效、平台支撑作用明显、成果转移转化成效显著、现代科技服务完善的创新型经开区。全社会研究与试验发展（R&amp;D）活动经费支出占GDP比重达到4.</w:t>
      </w:r>
      <w:r>
        <w:rPr>
          <w:rFonts w:eastAsia="方正仿宋_GBK"/>
          <w:bCs/>
          <w:sz w:val="32"/>
          <w:szCs w:val="32"/>
        </w:rPr>
        <w:t>3</w:t>
      </w:r>
      <w:r>
        <w:rPr>
          <w:rFonts w:eastAsia="方正仿宋_GBK"/>
          <w:bCs/>
          <w:sz w:val="32"/>
          <w:szCs w:val="32"/>
          <w:lang w:val="zh-CN"/>
        </w:rPr>
        <w:t>%，</w:t>
      </w:r>
      <w:r>
        <w:rPr>
          <w:rFonts w:eastAsia="方正仿宋_GBK"/>
          <w:sz w:val="32"/>
          <w:szCs w:val="32"/>
          <w:lang w:val="zh-CN"/>
        </w:rPr>
        <w:t>主导产业和优势产业发展取得重大技术突破，自主创新能力显著增强，</w:t>
      </w:r>
      <w:r>
        <w:rPr>
          <w:rFonts w:eastAsia="方正仿宋_GBK"/>
          <w:bCs/>
          <w:sz w:val="32"/>
          <w:szCs w:val="32"/>
          <w:lang w:val="zh-CN"/>
        </w:rPr>
        <w:t>高新技术企业、国家级、省级科技型中小企业</w:t>
      </w:r>
      <w:r>
        <w:rPr>
          <w:rFonts w:eastAsia="方正仿宋_GBK"/>
          <w:bCs/>
          <w:sz w:val="32"/>
          <w:szCs w:val="32"/>
        </w:rPr>
        <w:t>以及省级以上创新创业载体数量显著增加。</w:t>
      </w:r>
    </w:p>
    <w:p w14:paraId="60C0D13F">
      <w:pPr>
        <w:spacing w:line="600" w:lineRule="exact"/>
        <w:ind w:firstLine="640" w:firstLineChars="200"/>
        <w:rPr>
          <w:rFonts w:eastAsia="方正仿宋_GBK"/>
          <w:bCs/>
          <w:sz w:val="32"/>
          <w:szCs w:val="32"/>
          <w:lang w:val="zh-CN"/>
        </w:rPr>
      </w:pPr>
      <w:r>
        <w:rPr>
          <w:rFonts w:eastAsia="方正仿宋_GBK"/>
          <w:b/>
          <w:bCs/>
          <w:sz w:val="32"/>
          <w:szCs w:val="32"/>
          <w:lang w:val="zh-CN"/>
        </w:rPr>
        <w:t>——对外开放水平提升。</w:t>
      </w:r>
      <w:r>
        <w:rPr>
          <w:rFonts w:eastAsia="方正仿宋_GBK"/>
          <w:bCs/>
          <w:sz w:val="32"/>
          <w:szCs w:val="32"/>
          <w:lang w:val="zh-CN"/>
        </w:rPr>
        <w:t>到2025年</w:t>
      </w:r>
      <w:r>
        <w:rPr>
          <w:rFonts w:eastAsia="方正仿宋_GBK"/>
          <w:bCs/>
          <w:sz w:val="32"/>
          <w:szCs w:val="32"/>
        </w:rPr>
        <w:t>末</w:t>
      </w:r>
      <w:r>
        <w:rPr>
          <w:rFonts w:eastAsia="方正仿宋_GBK"/>
          <w:bCs/>
          <w:sz w:val="32"/>
          <w:szCs w:val="32"/>
          <w:lang w:val="zh-CN"/>
        </w:rPr>
        <w:t>，经开区外向型经济水平进一步提高，开放平台和对外合作机制进一步健全。进出口规模在2020年的基础上实现翻一番，力争突破130亿元；累计实际利用外资</w:t>
      </w:r>
      <w:r>
        <w:rPr>
          <w:rFonts w:eastAsia="方正仿宋_GBK"/>
          <w:bCs/>
          <w:sz w:val="32"/>
          <w:szCs w:val="32"/>
        </w:rPr>
        <w:t>达到5000万</w:t>
      </w:r>
      <w:r>
        <w:rPr>
          <w:rFonts w:eastAsia="方正仿宋_GBK"/>
          <w:bCs/>
          <w:sz w:val="32"/>
          <w:szCs w:val="32"/>
          <w:lang w:val="zh-CN"/>
        </w:rPr>
        <w:t>美元以上；培育5-10家外向型加工贸易企业、冶金化工深加工出口企业，3家以上上市企业；建成国家级东产西移承接转移和外向型产业基地、自贸试验区联动创新区等开放平台，</w:t>
      </w:r>
      <w:r>
        <w:rPr>
          <w:rFonts w:eastAsia="方正仿宋_GBK"/>
          <w:bCs/>
          <w:sz w:val="32"/>
          <w:szCs w:val="32"/>
        </w:rPr>
        <w:t>复制</w:t>
      </w:r>
      <w:r>
        <w:rPr>
          <w:rFonts w:eastAsia="方正仿宋_GBK"/>
          <w:bCs/>
          <w:sz w:val="32"/>
          <w:szCs w:val="32"/>
          <w:lang w:val="zh-CN"/>
        </w:rPr>
        <w:t>一批重大开放创新举措。</w:t>
      </w:r>
    </w:p>
    <w:p w14:paraId="06F6E68F">
      <w:pPr>
        <w:spacing w:line="600" w:lineRule="exact"/>
        <w:ind w:firstLine="640" w:firstLineChars="200"/>
        <w:rPr>
          <w:rFonts w:eastAsia="方正仿宋_GBK"/>
          <w:bCs/>
          <w:sz w:val="32"/>
          <w:szCs w:val="32"/>
          <w:lang w:val="zh-CN"/>
        </w:rPr>
      </w:pPr>
      <w:r>
        <w:rPr>
          <w:rFonts w:eastAsia="方正仿宋_GBK"/>
          <w:b/>
          <w:bCs/>
          <w:sz w:val="32"/>
          <w:szCs w:val="32"/>
          <w:lang w:val="zh-CN"/>
        </w:rPr>
        <w:t>——绿色发展成果显现。</w:t>
      </w:r>
      <w:r>
        <w:rPr>
          <w:rFonts w:eastAsia="方正仿宋_GBK"/>
          <w:bCs/>
          <w:sz w:val="32"/>
          <w:szCs w:val="32"/>
          <w:lang w:val="zh-CN"/>
        </w:rPr>
        <w:t>到2025年</w:t>
      </w:r>
      <w:r>
        <w:rPr>
          <w:rFonts w:eastAsia="方正仿宋_GBK"/>
          <w:bCs/>
          <w:sz w:val="32"/>
          <w:szCs w:val="32"/>
        </w:rPr>
        <w:t>末</w:t>
      </w:r>
      <w:r>
        <w:rPr>
          <w:rFonts w:eastAsia="方正仿宋_GBK"/>
          <w:bCs/>
          <w:sz w:val="32"/>
          <w:szCs w:val="32"/>
          <w:lang w:val="zh-CN"/>
        </w:rPr>
        <w:t>，经开区生产方式绿色转型取得成效，能源资源利用效率大幅提高。单位工业增加值综合能耗、新鲜水耗大幅下降，单位地区生产总值主要污染物排放量大幅下降，重点污染源稳定排放达标率为100%，工业固体废物综合利用率达到</w:t>
      </w:r>
      <w:r>
        <w:rPr>
          <w:rFonts w:eastAsia="方正仿宋_GBK"/>
          <w:bCs/>
          <w:sz w:val="32"/>
          <w:szCs w:val="32"/>
        </w:rPr>
        <w:t>100</w:t>
      </w:r>
      <w:r>
        <w:rPr>
          <w:rFonts w:eastAsia="方正仿宋_GBK"/>
          <w:bCs/>
          <w:sz w:val="32"/>
          <w:szCs w:val="32"/>
          <w:lang w:val="zh-CN"/>
        </w:rPr>
        <w:t>%，探索开展碳达峰、碳中和先行示范区试点建设。</w:t>
      </w:r>
    </w:p>
    <w:p w14:paraId="597728D6">
      <w:pPr>
        <w:spacing w:line="600" w:lineRule="exact"/>
        <w:ind w:firstLine="640" w:firstLineChars="200"/>
        <w:rPr>
          <w:rFonts w:eastAsia="方正仿宋_GBK"/>
          <w:bCs/>
          <w:sz w:val="32"/>
          <w:szCs w:val="32"/>
          <w:lang w:val="zh-CN"/>
        </w:rPr>
      </w:pPr>
      <w:r>
        <w:rPr>
          <w:rFonts w:eastAsia="方正仿宋_GBK"/>
          <w:b/>
          <w:bCs/>
          <w:sz w:val="32"/>
          <w:szCs w:val="32"/>
          <w:lang w:val="zh-CN"/>
        </w:rPr>
        <w:t>——体制机制进一步完善。</w:t>
      </w:r>
      <w:r>
        <w:rPr>
          <w:rFonts w:eastAsia="方正仿宋_GBK"/>
          <w:bCs/>
          <w:sz w:val="32"/>
          <w:szCs w:val="32"/>
          <w:lang w:val="zh-CN"/>
        </w:rPr>
        <w:t>深入推进“放管服”改革，深化重点领域</w:t>
      </w:r>
      <w:r>
        <w:rPr>
          <w:rFonts w:eastAsia="方正仿宋_GBK"/>
          <w:bCs/>
          <w:sz w:val="32"/>
          <w:szCs w:val="32"/>
        </w:rPr>
        <w:t>和关键环节</w:t>
      </w:r>
      <w:r>
        <w:rPr>
          <w:rFonts w:eastAsia="方正仿宋_GBK"/>
          <w:bCs/>
          <w:sz w:val="32"/>
          <w:szCs w:val="32"/>
          <w:lang w:val="zh-CN"/>
        </w:rPr>
        <w:t>改革，</w:t>
      </w:r>
      <w:r>
        <w:rPr>
          <w:rFonts w:eastAsia="方正仿宋_GBK"/>
          <w:bCs/>
          <w:sz w:val="32"/>
          <w:szCs w:val="32"/>
        </w:rPr>
        <w:t>推动管委会</w:t>
      </w:r>
      <w:r>
        <w:rPr>
          <w:rFonts w:eastAsia="方正仿宋_GBK"/>
          <w:bCs/>
          <w:sz w:val="32"/>
          <w:szCs w:val="32"/>
          <w:lang w:val="zh-CN"/>
        </w:rPr>
        <w:t>转变职能、理顺关系、优化流程，提升监管能力，推动有效市场和有为政府更好结合，打造市场化、法治化、国际化营商环境。</w:t>
      </w:r>
    </w:p>
    <w:p w14:paraId="572DE30A">
      <w:pPr>
        <w:spacing w:line="600" w:lineRule="exact"/>
        <w:ind w:firstLine="640" w:firstLineChars="200"/>
        <w:rPr>
          <w:rFonts w:eastAsia="方正仿宋_GBK"/>
          <w:bCs/>
          <w:sz w:val="32"/>
          <w:szCs w:val="32"/>
          <w:lang w:val="zh-CN"/>
        </w:rPr>
      </w:pPr>
      <w:r>
        <w:rPr>
          <w:rFonts w:eastAsia="方正仿宋_GBK"/>
          <w:b/>
          <w:bCs/>
          <w:sz w:val="32"/>
          <w:szCs w:val="32"/>
          <w:lang w:val="zh-CN"/>
        </w:rPr>
        <w:t>——产城实现深入融合。</w:t>
      </w:r>
      <w:r>
        <w:rPr>
          <w:rFonts w:eastAsia="方正仿宋_GBK"/>
          <w:bCs/>
          <w:sz w:val="32"/>
          <w:szCs w:val="32"/>
          <w:lang w:val="zh-CN"/>
        </w:rPr>
        <w:t>积极推进产业布局一体化、基础设施一体化、公共服务一体化和要素配置一体化。在聚力主导产业做大做强的同时，完善基础设施的品质提升，社会治理效能</w:t>
      </w:r>
      <w:r>
        <w:rPr>
          <w:rFonts w:eastAsia="方正仿宋_GBK"/>
          <w:bCs/>
          <w:sz w:val="32"/>
          <w:szCs w:val="32"/>
        </w:rPr>
        <w:t>进一步</w:t>
      </w:r>
      <w:r>
        <w:rPr>
          <w:rFonts w:eastAsia="方正仿宋_GBK"/>
          <w:bCs/>
          <w:sz w:val="32"/>
          <w:szCs w:val="32"/>
          <w:lang w:val="zh-CN"/>
        </w:rPr>
        <w:t>提升，民生福祉达到新水平</w:t>
      </w:r>
      <w:r>
        <w:rPr>
          <w:rFonts w:eastAsia="方正仿宋_GBK"/>
          <w:bCs/>
          <w:sz w:val="32"/>
          <w:szCs w:val="32"/>
        </w:rPr>
        <w:t>，</w:t>
      </w:r>
      <w:r>
        <w:rPr>
          <w:rFonts w:eastAsia="方正仿宋_GBK"/>
          <w:bCs/>
          <w:sz w:val="32"/>
          <w:szCs w:val="32"/>
          <w:lang w:val="zh-CN"/>
        </w:rPr>
        <w:t>以主导产业的发展带动城市的发展，进一步增强经开区城市发展活力和综合竞争力。</w:t>
      </w:r>
    </w:p>
    <w:p w14:paraId="5A7F1ABD">
      <w:pPr>
        <w:pStyle w:val="2"/>
        <w:rPr>
          <w:lang w:val="zh-CN"/>
        </w:rPr>
      </w:pPr>
    </w:p>
    <w:p w14:paraId="01B31334">
      <w:pPr>
        <w:pStyle w:val="2"/>
        <w:rPr>
          <w:lang w:val="zh-CN"/>
        </w:rPr>
      </w:pPr>
    </w:p>
    <w:p w14:paraId="5B523A20">
      <w:pPr>
        <w:pStyle w:val="2"/>
        <w:rPr>
          <w:lang w:val="zh-CN"/>
        </w:rPr>
      </w:pPr>
    </w:p>
    <w:p w14:paraId="32917FBB">
      <w:pPr>
        <w:spacing w:line="360" w:lineRule="auto"/>
        <w:ind w:firstLine="560"/>
        <w:jc w:val="center"/>
        <w:rPr>
          <w:rFonts w:eastAsia="方正仿宋_GBK"/>
          <w:b/>
          <w:sz w:val="32"/>
          <w:szCs w:val="32"/>
        </w:rPr>
      </w:pPr>
      <w:r>
        <w:rPr>
          <w:rFonts w:eastAsia="方正仿宋_GBK"/>
          <w:b/>
          <w:sz w:val="32"/>
          <w:szCs w:val="32"/>
        </w:rPr>
        <w:t>表4-1</w:t>
      </w:r>
      <w:r>
        <w:rPr>
          <w:rFonts w:eastAsia="方正仿宋_GBK"/>
          <w:b/>
          <w:kern w:val="0"/>
          <w:sz w:val="32"/>
          <w:szCs w:val="32"/>
        </w:rPr>
        <w:t>“十四五”时期经开区主要指标</w:t>
      </w:r>
    </w:p>
    <w:tbl>
      <w:tblPr>
        <w:tblStyle w:val="1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0"/>
        <w:gridCol w:w="993"/>
        <w:gridCol w:w="992"/>
        <w:gridCol w:w="1059"/>
        <w:gridCol w:w="1184"/>
      </w:tblGrid>
      <w:tr w14:paraId="4F7D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19A51287">
            <w:pPr>
              <w:jc w:val="center"/>
              <w:rPr>
                <w:rFonts w:eastAsia="方正仿宋_GBK"/>
                <w:b/>
                <w:sz w:val="24"/>
                <w:szCs w:val="24"/>
              </w:rPr>
            </w:pPr>
            <w:r>
              <w:rPr>
                <w:rFonts w:eastAsia="方正仿宋_GBK"/>
                <w:b/>
                <w:sz w:val="24"/>
                <w:szCs w:val="24"/>
              </w:rPr>
              <w:t>指标名称</w:t>
            </w:r>
          </w:p>
        </w:tc>
        <w:tc>
          <w:tcPr>
            <w:tcW w:w="993" w:type="dxa"/>
            <w:vAlign w:val="center"/>
          </w:tcPr>
          <w:p w14:paraId="0E6112E8">
            <w:pPr>
              <w:jc w:val="center"/>
              <w:rPr>
                <w:rFonts w:eastAsia="方正仿宋_GBK"/>
                <w:b/>
                <w:sz w:val="24"/>
                <w:szCs w:val="24"/>
              </w:rPr>
            </w:pPr>
            <w:r>
              <w:rPr>
                <w:rFonts w:eastAsia="方正仿宋_GBK"/>
                <w:b/>
                <w:sz w:val="24"/>
                <w:szCs w:val="24"/>
              </w:rPr>
              <w:t>单位</w:t>
            </w:r>
          </w:p>
        </w:tc>
        <w:tc>
          <w:tcPr>
            <w:tcW w:w="992" w:type="dxa"/>
            <w:vAlign w:val="center"/>
          </w:tcPr>
          <w:p w14:paraId="5B4B6DA3">
            <w:pPr>
              <w:jc w:val="center"/>
              <w:rPr>
                <w:rFonts w:eastAsia="方正仿宋_GBK"/>
                <w:b/>
                <w:sz w:val="24"/>
                <w:szCs w:val="24"/>
              </w:rPr>
            </w:pPr>
            <w:r>
              <w:rPr>
                <w:rFonts w:eastAsia="方正仿宋_GBK"/>
                <w:b/>
                <w:sz w:val="24"/>
                <w:szCs w:val="24"/>
              </w:rPr>
              <w:t>2020年</w:t>
            </w:r>
          </w:p>
        </w:tc>
        <w:tc>
          <w:tcPr>
            <w:tcW w:w="1059" w:type="dxa"/>
            <w:vAlign w:val="center"/>
          </w:tcPr>
          <w:p w14:paraId="58600B6A">
            <w:pPr>
              <w:jc w:val="center"/>
              <w:rPr>
                <w:rFonts w:eastAsia="方正仿宋_GBK"/>
                <w:b/>
                <w:sz w:val="24"/>
                <w:szCs w:val="24"/>
              </w:rPr>
            </w:pPr>
            <w:r>
              <w:rPr>
                <w:rFonts w:eastAsia="方正仿宋_GBK"/>
                <w:b/>
                <w:sz w:val="24"/>
                <w:szCs w:val="24"/>
              </w:rPr>
              <w:t>2025年</w:t>
            </w:r>
          </w:p>
        </w:tc>
        <w:tc>
          <w:tcPr>
            <w:tcW w:w="1184" w:type="dxa"/>
            <w:vAlign w:val="center"/>
          </w:tcPr>
          <w:p w14:paraId="4094EEEA">
            <w:pPr>
              <w:jc w:val="center"/>
              <w:rPr>
                <w:rFonts w:eastAsia="方正仿宋_GBK"/>
                <w:b/>
                <w:sz w:val="24"/>
                <w:szCs w:val="24"/>
              </w:rPr>
            </w:pPr>
            <w:r>
              <w:rPr>
                <w:rFonts w:eastAsia="方正仿宋_GBK"/>
                <w:b/>
                <w:sz w:val="24"/>
                <w:szCs w:val="24"/>
              </w:rPr>
              <w:t>年均增长</w:t>
            </w:r>
          </w:p>
        </w:tc>
      </w:tr>
      <w:tr w14:paraId="686B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4DC34CED">
            <w:pPr>
              <w:jc w:val="center"/>
              <w:rPr>
                <w:rFonts w:eastAsia="方正仿宋_GBK"/>
                <w:sz w:val="24"/>
                <w:szCs w:val="24"/>
              </w:rPr>
            </w:pPr>
            <w:r>
              <w:rPr>
                <w:rFonts w:eastAsia="方正仿宋_GBK"/>
                <w:color w:val="000000"/>
                <w:sz w:val="24"/>
                <w:szCs w:val="24"/>
              </w:rPr>
              <w:t>区内生产总值</w:t>
            </w:r>
          </w:p>
        </w:tc>
        <w:tc>
          <w:tcPr>
            <w:tcW w:w="993" w:type="dxa"/>
            <w:vAlign w:val="center"/>
          </w:tcPr>
          <w:p w14:paraId="3798F6D3">
            <w:pPr>
              <w:jc w:val="center"/>
              <w:rPr>
                <w:rFonts w:eastAsia="方正仿宋_GBK"/>
                <w:sz w:val="24"/>
                <w:szCs w:val="24"/>
              </w:rPr>
            </w:pPr>
            <w:r>
              <w:rPr>
                <w:rFonts w:eastAsia="方正仿宋_GBK"/>
                <w:sz w:val="24"/>
                <w:szCs w:val="24"/>
              </w:rPr>
              <w:t>亿元</w:t>
            </w:r>
          </w:p>
        </w:tc>
        <w:tc>
          <w:tcPr>
            <w:tcW w:w="992" w:type="dxa"/>
            <w:vAlign w:val="center"/>
          </w:tcPr>
          <w:p w14:paraId="716585D2">
            <w:pPr>
              <w:jc w:val="center"/>
              <w:rPr>
                <w:rFonts w:eastAsia="方正仿宋_GBK"/>
                <w:color w:val="000000"/>
                <w:sz w:val="24"/>
                <w:szCs w:val="24"/>
              </w:rPr>
            </w:pPr>
            <w:r>
              <w:rPr>
                <w:rFonts w:eastAsia="方正仿宋_GBK"/>
                <w:color w:val="000000"/>
                <w:sz w:val="24"/>
                <w:szCs w:val="24"/>
              </w:rPr>
              <w:t>159.02</w:t>
            </w:r>
          </w:p>
        </w:tc>
        <w:tc>
          <w:tcPr>
            <w:tcW w:w="1059" w:type="dxa"/>
            <w:vAlign w:val="center"/>
          </w:tcPr>
          <w:p w14:paraId="216157A6">
            <w:pPr>
              <w:jc w:val="center"/>
              <w:rPr>
                <w:rFonts w:eastAsia="方正仿宋_GBK"/>
                <w:sz w:val="24"/>
                <w:szCs w:val="24"/>
              </w:rPr>
            </w:pPr>
            <w:r>
              <w:rPr>
                <w:rFonts w:eastAsia="方正仿宋_GBK"/>
                <w:color w:val="000000"/>
                <w:sz w:val="24"/>
                <w:szCs w:val="24"/>
              </w:rPr>
              <w:t>320</w:t>
            </w:r>
          </w:p>
        </w:tc>
        <w:tc>
          <w:tcPr>
            <w:tcW w:w="1184" w:type="dxa"/>
            <w:vAlign w:val="center"/>
          </w:tcPr>
          <w:p w14:paraId="4359D693">
            <w:pPr>
              <w:jc w:val="center"/>
              <w:rPr>
                <w:rFonts w:eastAsia="方正仿宋_GBK"/>
                <w:sz w:val="24"/>
                <w:szCs w:val="24"/>
              </w:rPr>
            </w:pPr>
            <w:r>
              <w:rPr>
                <w:rFonts w:eastAsia="方正仿宋_GBK"/>
                <w:color w:val="000000"/>
                <w:sz w:val="24"/>
                <w:szCs w:val="24"/>
              </w:rPr>
              <w:t>15%</w:t>
            </w:r>
          </w:p>
        </w:tc>
      </w:tr>
      <w:tr w14:paraId="373E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272ED327">
            <w:pPr>
              <w:jc w:val="center"/>
              <w:rPr>
                <w:rFonts w:eastAsia="方正仿宋_GBK"/>
                <w:sz w:val="24"/>
                <w:szCs w:val="24"/>
              </w:rPr>
            </w:pPr>
            <w:r>
              <w:rPr>
                <w:rFonts w:eastAsia="方正仿宋_GBK"/>
                <w:color w:val="000000"/>
                <w:sz w:val="24"/>
                <w:szCs w:val="24"/>
              </w:rPr>
              <w:t>规上工业增加值</w:t>
            </w:r>
          </w:p>
        </w:tc>
        <w:tc>
          <w:tcPr>
            <w:tcW w:w="993" w:type="dxa"/>
            <w:vAlign w:val="center"/>
          </w:tcPr>
          <w:p w14:paraId="62F6705C">
            <w:pPr>
              <w:jc w:val="center"/>
              <w:rPr>
                <w:rFonts w:eastAsia="方正仿宋_GBK"/>
                <w:sz w:val="24"/>
                <w:szCs w:val="24"/>
              </w:rPr>
            </w:pPr>
            <w:r>
              <w:rPr>
                <w:rFonts w:eastAsia="方正仿宋_GBK"/>
                <w:sz w:val="24"/>
                <w:szCs w:val="24"/>
              </w:rPr>
              <w:t>亿元</w:t>
            </w:r>
          </w:p>
        </w:tc>
        <w:tc>
          <w:tcPr>
            <w:tcW w:w="992" w:type="dxa"/>
            <w:vAlign w:val="center"/>
          </w:tcPr>
          <w:p w14:paraId="7FB5A795">
            <w:pPr>
              <w:jc w:val="center"/>
              <w:rPr>
                <w:rFonts w:eastAsia="方正仿宋_GBK"/>
                <w:color w:val="000000"/>
                <w:sz w:val="24"/>
                <w:szCs w:val="24"/>
              </w:rPr>
            </w:pPr>
            <w:r>
              <w:rPr>
                <w:rFonts w:eastAsia="方正仿宋_GBK"/>
                <w:color w:val="000000"/>
                <w:sz w:val="24"/>
                <w:szCs w:val="24"/>
              </w:rPr>
              <w:t>69.70</w:t>
            </w:r>
          </w:p>
        </w:tc>
        <w:tc>
          <w:tcPr>
            <w:tcW w:w="1059" w:type="dxa"/>
            <w:vAlign w:val="center"/>
          </w:tcPr>
          <w:p w14:paraId="35692842">
            <w:pPr>
              <w:jc w:val="center"/>
              <w:rPr>
                <w:rFonts w:eastAsia="方正仿宋_GBK"/>
                <w:sz w:val="24"/>
                <w:szCs w:val="24"/>
              </w:rPr>
            </w:pPr>
            <w:r>
              <w:rPr>
                <w:rFonts w:eastAsia="方正仿宋_GBK"/>
                <w:color w:val="000000"/>
                <w:sz w:val="24"/>
                <w:szCs w:val="24"/>
              </w:rPr>
              <w:t>202</w:t>
            </w:r>
          </w:p>
        </w:tc>
        <w:tc>
          <w:tcPr>
            <w:tcW w:w="1184" w:type="dxa"/>
            <w:vAlign w:val="center"/>
          </w:tcPr>
          <w:p w14:paraId="53BBD8D5">
            <w:pPr>
              <w:jc w:val="center"/>
              <w:rPr>
                <w:rFonts w:eastAsia="方正仿宋_GBK"/>
                <w:sz w:val="24"/>
                <w:szCs w:val="24"/>
              </w:rPr>
            </w:pPr>
            <w:r>
              <w:rPr>
                <w:rFonts w:eastAsia="方正仿宋_GBK"/>
                <w:color w:val="000000"/>
                <w:sz w:val="24"/>
                <w:szCs w:val="24"/>
              </w:rPr>
              <w:t>25%</w:t>
            </w:r>
          </w:p>
        </w:tc>
      </w:tr>
      <w:tr w14:paraId="0AAC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794EC46F">
            <w:pPr>
              <w:jc w:val="center"/>
              <w:rPr>
                <w:rFonts w:eastAsia="方正仿宋_GBK"/>
                <w:sz w:val="24"/>
                <w:szCs w:val="24"/>
              </w:rPr>
            </w:pPr>
            <w:r>
              <w:rPr>
                <w:rFonts w:eastAsia="方正仿宋_GBK"/>
                <w:color w:val="000000"/>
                <w:sz w:val="24"/>
                <w:szCs w:val="24"/>
              </w:rPr>
              <w:t>规上固定资产投资</w:t>
            </w:r>
          </w:p>
        </w:tc>
        <w:tc>
          <w:tcPr>
            <w:tcW w:w="993" w:type="dxa"/>
            <w:vAlign w:val="center"/>
          </w:tcPr>
          <w:p w14:paraId="65846F2B">
            <w:pPr>
              <w:jc w:val="center"/>
              <w:rPr>
                <w:rFonts w:eastAsia="方正仿宋_GBK"/>
                <w:sz w:val="24"/>
                <w:szCs w:val="24"/>
              </w:rPr>
            </w:pPr>
            <w:r>
              <w:rPr>
                <w:rFonts w:eastAsia="方正仿宋_GBK"/>
                <w:sz w:val="24"/>
                <w:szCs w:val="24"/>
              </w:rPr>
              <w:t>亿元</w:t>
            </w:r>
          </w:p>
        </w:tc>
        <w:tc>
          <w:tcPr>
            <w:tcW w:w="992" w:type="dxa"/>
            <w:vAlign w:val="center"/>
          </w:tcPr>
          <w:p w14:paraId="10B93022">
            <w:pPr>
              <w:jc w:val="center"/>
              <w:rPr>
                <w:rFonts w:eastAsia="方正仿宋_GBK"/>
                <w:color w:val="000000"/>
                <w:sz w:val="24"/>
                <w:szCs w:val="24"/>
              </w:rPr>
            </w:pPr>
            <w:r>
              <w:rPr>
                <w:rFonts w:eastAsia="方正仿宋_GBK"/>
                <w:color w:val="000000"/>
                <w:sz w:val="24"/>
                <w:szCs w:val="24"/>
              </w:rPr>
              <w:t>84.82</w:t>
            </w:r>
          </w:p>
        </w:tc>
        <w:tc>
          <w:tcPr>
            <w:tcW w:w="1059" w:type="dxa"/>
            <w:vAlign w:val="center"/>
          </w:tcPr>
          <w:p w14:paraId="3F56E9C6">
            <w:pPr>
              <w:jc w:val="center"/>
              <w:rPr>
                <w:rFonts w:eastAsia="方正仿宋_GBK"/>
                <w:sz w:val="24"/>
                <w:szCs w:val="24"/>
              </w:rPr>
            </w:pPr>
            <w:r>
              <w:rPr>
                <w:rFonts w:eastAsia="方正仿宋_GBK"/>
                <w:color w:val="000000"/>
                <w:sz w:val="24"/>
                <w:szCs w:val="24"/>
              </w:rPr>
              <w:t>185</w:t>
            </w:r>
          </w:p>
        </w:tc>
        <w:tc>
          <w:tcPr>
            <w:tcW w:w="1184" w:type="dxa"/>
            <w:vAlign w:val="center"/>
          </w:tcPr>
          <w:p w14:paraId="48C6488C">
            <w:pPr>
              <w:jc w:val="center"/>
              <w:rPr>
                <w:rFonts w:eastAsia="方正仿宋_GBK"/>
                <w:sz w:val="24"/>
                <w:szCs w:val="24"/>
              </w:rPr>
            </w:pPr>
            <w:r>
              <w:rPr>
                <w:rFonts w:eastAsia="方正仿宋_GBK"/>
                <w:color w:val="000000"/>
                <w:sz w:val="24"/>
                <w:szCs w:val="24"/>
              </w:rPr>
              <w:t>18%</w:t>
            </w:r>
          </w:p>
        </w:tc>
      </w:tr>
      <w:tr w14:paraId="6775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2A13DD33">
            <w:pPr>
              <w:jc w:val="center"/>
              <w:rPr>
                <w:rFonts w:eastAsia="方正仿宋_GBK"/>
                <w:sz w:val="24"/>
                <w:szCs w:val="24"/>
              </w:rPr>
            </w:pPr>
            <w:r>
              <w:rPr>
                <w:rFonts w:eastAsia="方正仿宋_GBK"/>
                <w:color w:val="000000"/>
                <w:sz w:val="24"/>
                <w:szCs w:val="24"/>
              </w:rPr>
              <w:t>社会消费品零售额</w:t>
            </w:r>
          </w:p>
        </w:tc>
        <w:tc>
          <w:tcPr>
            <w:tcW w:w="993" w:type="dxa"/>
            <w:vAlign w:val="center"/>
          </w:tcPr>
          <w:p w14:paraId="5AB9B328">
            <w:pPr>
              <w:jc w:val="center"/>
              <w:rPr>
                <w:rFonts w:eastAsia="方正仿宋_GBK"/>
                <w:sz w:val="24"/>
                <w:szCs w:val="24"/>
              </w:rPr>
            </w:pPr>
            <w:r>
              <w:rPr>
                <w:rFonts w:eastAsia="方正仿宋_GBK"/>
                <w:sz w:val="24"/>
                <w:szCs w:val="24"/>
              </w:rPr>
              <w:t>亿元</w:t>
            </w:r>
          </w:p>
        </w:tc>
        <w:tc>
          <w:tcPr>
            <w:tcW w:w="992" w:type="dxa"/>
            <w:vAlign w:val="center"/>
          </w:tcPr>
          <w:p w14:paraId="0456B242">
            <w:pPr>
              <w:jc w:val="center"/>
              <w:rPr>
                <w:rFonts w:eastAsia="方正仿宋_GBK"/>
                <w:color w:val="000000"/>
                <w:sz w:val="24"/>
                <w:szCs w:val="24"/>
              </w:rPr>
            </w:pPr>
            <w:r>
              <w:rPr>
                <w:rFonts w:eastAsia="方正仿宋_GBK"/>
                <w:color w:val="000000"/>
                <w:sz w:val="24"/>
                <w:szCs w:val="24"/>
              </w:rPr>
              <w:t>58.85</w:t>
            </w:r>
          </w:p>
        </w:tc>
        <w:tc>
          <w:tcPr>
            <w:tcW w:w="1059" w:type="dxa"/>
            <w:vAlign w:val="center"/>
          </w:tcPr>
          <w:p w14:paraId="20D161BF">
            <w:pPr>
              <w:jc w:val="center"/>
              <w:rPr>
                <w:rFonts w:eastAsia="方正仿宋_GBK"/>
                <w:sz w:val="24"/>
                <w:szCs w:val="24"/>
              </w:rPr>
            </w:pPr>
            <w:r>
              <w:rPr>
                <w:rFonts w:eastAsia="方正仿宋_GBK"/>
                <w:color w:val="000000"/>
                <w:sz w:val="24"/>
                <w:szCs w:val="24"/>
              </w:rPr>
              <w:t>100</w:t>
            </w:r>
          </w:p>
        </w:tc>
        <w:tc>
          <w:tcPr>
            <w:tcW w:w="1184" w:type="dxa"/>
            <w:vAlign w:val="center"/>
          </w:tcPr>
          <w:p w14:paraId="29D67B4D">
            <w:pPr>
              <w:jc w:val="center"/>
              <w:rPr>
                <w:rFonts w:eastAsia="方正仿宋_GBK"/>
                <w:sz w:val="24"/>
                <w:szCs w:val="24"/>
              </w:rPr>
            </w:pPr>
            <w:r>
              <w:rPr>
                <w:rFonts w:eastAsia="方正仿宋_GBK"/>
                <w:color w:val="000000"/>
                <w:sz w:val="24"/>
                <w:szCs w:val="24"/>
              </w:rPr>
              <w:t>12.5%</w:t>
            </w:r>
          </w:p>
        </w:tc>
      </w:tr>
      <w:tr w14:paraId="0A55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34948968">
            <w:pPr>
              <w:jc w:val="center"/>
              <w:rPr>
                <w:rFonts w:eastAsia="方正仿宋_GBK"/>
                <w:sz w:val="24"/>
                <w:szCs w:val="24"/>
              </w:rPr>
            </w:pPr>
            <w:r>
              <w:rPr>
                <w:rFonts w:eastAsia="方正仿宋_GBK"/>
                <w:color w:val="000000"/>
                <w:sz w:val="24"/>
                <w:szCs w:val="24"/>
              </w:rPr>
              <w:t>地方一般预算收入</w:t>
            </w:r>
          </w:p>
        </w:tc>
        <w:tc>
          <w:tcPr>
            <w:tcW w:w="993" w:type="dxa"/>
            <w:vAlign w:val="center"/>
          </w:tcPr>
          <w:p w14:paraId="1746DD21">
            <w:pPr>
              <w:jc w:val="center"/>
              <w:rPr>
                <w:rFonts w:eastAsia="方正仿宋_GBK"/>
                <w:sz w:val="24"/>
                <w:szCs w:val="24"/>
              </w:rPr>
            </w:pPr>
            <w:r>
              <w:rPr>
                <w:rFonts w:eastAsia="方正仿宋_GBK"/>
                <w:sz w:val="24"/>
                <w:szCs w:val="24"/>
              </w:rPr>
              <w:t>亿元</w:t>
            </w:r>
          </w:p>
        </w:tc>
        <w:tc>
          <w:tcPr>
            <w:tcW w:w="992" w:type="dxa"/>
            <w:vAlign w:val="center"/>
          </w:tcPr>
          <w:p w14:paraId="0BF77268">
            <w:pPr>
              <w:jc w:val="center"/>
              <w:rPr>
                <w:rFonts w:eastAsia="方正仿宋_GBK"/>
                <w:sz w:val="24"/>
                <w:szCs w:val="24"/>
              </w:rPr>
            </w:pPr>
            <w:r>
              <w:rPr>
                <w:rFonts w:eastAsia="方正仿宋_GBK"/>
                <w:sz w:val="24"/>
                <w:szCs w:val="24"/>
              </w:rPr>
              <w:t>10.01</w:t>
            </w:r>
          </w:p>
        </w:tc>
        <w:tc>
          <w:tcPr>
            <w:tcW w:w="1059" w:type="dxa"/>
            <w:vAlign w:val="center"/>
          </w:tcPr>
          <w:p w14:paraId="79C9F23E">
            <w:pPr>
              <w:jc w:val="center"/>
              <w:rPr>
                <w:rFonts w:eastAsia="方正仿宋_GBK"/>
                <w:sz w:val="24"/>
                <w:szCs w:val="24"/>
              </w:rPr>
            </w:pPr>
            <w:r>
              <w:rPr>
                <w:rFonts w:eastAsia="方正仿宋_GBK"/>
                <w:sz w:val="24"/>
                <w:szCs w:val="24"/>
              </w:rPr>
              <w:t>15</w:t>
            </w:r>
          </w:p>
        </w:tc>
        <w:tc>
          <w:tcPr>
            <w:tcW w:w="1184" w:type="dxa"/>
            <w:vAlign w:val="center"/>
          </w:tcPr>
          <w:p w14:paraId="096A7D9D">
            <w:pPr>
              <w:jc w:val="center"/>
              <w:rPr>
                <w:rFonts w:eastAsia="方正仿宋_GBK"/>
                <w:sz w:val="24"/>
                <w:szCs w:val="24"/>
              </w:rPr>
            </w:pPr>
            <w:r>
              <w:rPr>
                <w:rFonts w:eastAsia="方正仿宋_GBK"/>
                <w:color w:val="000000"/>
                <w:sz w:val="24"/>
                <w:szCs w:val="24"/>
              </w:rPr>
              <w:t>8.56%</w:t>
            </w:r>
          </w:p>
        </w:tc>
      </w:tr>
      <w:tr w14:paraId="3121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64913929">
            <w:pPr>
              <w:jc w:val="center"/>
              <w:rPr>
                <w:rFonts w:eastAsia="方正仿宋_GBK"/>
                <w:sz w:val="24"/>
                <w:szCs w:val="24"/>
              </w:rPr>
            </w:pPr>
            <w:r>
              <w:rPr>
                <w:rFonts w:eastAsia="方正仿宋_GBK"/>
                <w:sz w:val="24"/>
                <w:szCs w:val="24"/>
              </w:rPr>
              <w:t>货物进出口额</w:t>
            </w:r>
          </w:p>
        </w:tc>
        <w:tc>
          <w:tcPr>
            <w:tcW w:w="993" w:type="dxa"/>
            <w:vAlign w:val="center"/>
          </w:tcPr>
          <w:p w14:paraId="5842CE84">
            <w:pPr>
              <w:jc w:val="center"/>
              <w:rPr>
                <w:rFonts w:eastAsia="方正仿宋_GBK"/>
                <w:sz w:val="24"/>
                <w:szCs w:val="24"/>
              </w:rPr>
            </w:pPr>
            <w:r>
              <w:rPr>
                <w:rFonts w:eastAsia="方正仿宋_GBK"/>
                <w:sz w:val="24"/>
                <w:szCs w:val="24"/>
              </w:rPr>
              <w:t>亿元</w:t>
            </w:r>
          </w:p>
        </w:tc>
        <w:tc>
          <w:tcPr>
            <w:tcW w:w="992" w:type="dxa"/>
            <w:vAlign w:val="center"/>
          </w:tcPr>
          <w:p w14:paraId="37F7E90A">
            <w:pPr>
              <w:jc w:val="center"/>
              <w:rPr>
                <w:rFonts w:eastAsia="方正仿宋_GBK"/>
                <w:sz w:val="24"/>
                <w:szCs w:val="24"/>
              </w:rPr>
            </w:pPr>
            <w:r>
              <w:rPr>
                <w:rFonts w:eastAsia="方正仿宋_GBK"/>
                <w:sz w:val="24"/>
                <w:szCs w:val="24"/>
              </w:rPr>
              <w:t>89.40</w:t>
            </w:r>
          </w:p>
        </w:tc>
        <w:tc>
          <w:tcPr>
            <w:tcW w:w="1059" w:type="dxa"/>
            <w:vAlign w:val="center"/>
          </w:tcPr>
          <w:p w14:paraId="19681505">
            <w:pPr>
              <w:jc w:val="center"/>
              <w:rPr>
                <w:rFonts w:eastAsia="方正仿宋_GBK"/>
                <w:sz w:val="24"/>
                <w:szCs w:val="24"/>
              </w:rPr>
            </w:pPr>
            <w:r>
              <w:rPr>
                <w:rFonts w:eastAsia="方正仿宋_GBK"/>
                <w:sz w:val="24"/>
                <w:szCs w:val="24"/>
              </w:rPr>
              <w:t>130</w:t>
            </w:r>
          </w:p>
        </w:tc>
        <w:tc>
          <w:tcPr>
            <w:tcW w:w="1184" w:type="dxa"/>
            <w:vAlign w:val="center"/>
          </w:tcPr>
          <w:p w14:paraId="0C694B88">
            <w:pPr>
              <w:jc w:val="center"/>
              <w:rPr>
                <w:rFonts w:eastAsia="方正仿宋_GBK"/>
                <w:sz w:val="24"/>
                <w:szCs w:val="24"/>
              </w:rPr>
            </w:pPr>
            <w:r>
              <w:rPr>
                <w:rFonts w:eastAsia="方正仿宋_GBK"/>
                <w:sz w:val="24"/>
                <w:szCs w:val="24"/>
              </w:rPr>
              <w:t>7.8%</w:t>
            </w:r>
          </w:p>
        </w:tc>
      </w:tr>
      <w:tr w14:paraId="0F18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4AF29A07">
            <w:pPr>
              <w:jc w:val="center"/>
              <w:rPr>
                <w:rFonts w:eastAsia="方正仿宋_GBK"/>
                <w:sz w:val="24"/>
                <w:szCs w:val="24"/>
              </w:rPr>
            </w:pPr>
            <w:r>
              <w:rPr>
                <w:rFonts w:eastAsia="方正仿宋_GBK"/>
                <w:sz w:val="24"/>
                <w:szCs w:val="24"/>
              </w:rPr>
              <w:t>实际利用外资</w:t>
            </w:r>
          </w:p>
        </w:tc>
        <w:tc>
          <w:tcPr>
            <w:tcW w:w="993" w:type="dxa"/>
            <w:vAlign w:val="center"/>
          </w:tcPr>
          <w:p w14:paraId="0FCA5D8E">
            <w:pPr>
              <w:jc w:val="center"/>
              <w:rPr>
                <w:rFonts w:eastAsia="方正仿宋_GBK"/>
                <w:sz w:val="24"/>
                <w:szCs w:val="24"/>
              </w:rPr>
            </w:pPr>
            <w:r>
              <w:rPr>
                <w:rFonts w:eastAsia="方正仿宋_GBK"/>
                <w:sz w:val="24"/>
                <w:szCs w:val="24"/>
              </w:rPr>
              <w:t>万美元</w:t>
            </w:r>
          </w:p>
        </w:tc>
        <w:tc>
          <w:tcPr>
            <w:tcW w:w="992" w:type="dxa"/>
            <w:vAlign w:val="center"/>
          </w:tcPr>
          <w:p w14:paraId="0A068B95">
            <w:pPr>
              <w:jc w:val="center"/>
              <w:rPr>
                <w:rFonts w:eastAsia="方正仿宋_GBK"/>
                <w:sz w:val="24"/>
                <w:szCs w:val="24"/>
              </w:rPr>
            </w:pPr>
            <w:r>
              <w:rPr>
                <w:rFonts w:eastAsia="方正仿宋_GBK"/>
                <w:sz w:val="24"/>
                <w:szCs w:val="24"/>
              </w:rPr>
              <w:t>672</w:t>
            </w:r>
          </w:p>
        </w:tc>
        <w:tc>
          <w:tcPr>
            <w:tcW w:w="1059" w:type="dxa"/>
            <w:vAlign w:val="center"/>
          </w:tcPr>
          <w:p w14:paraId="545AC88F">
            <w:pPr>
              <w:jc w:val="center"/>
              <w:rPr>
                <w:rFonts w:eastAsia="方正仿宋_GBK"/>
                <w:sz w:val="24"/>
                <w:szCs w:val="24"/>
              </w:rPr>
            </w:pPr>
            <w:r>
              <w:rPr>
                <w:rFonts w:eastAsia="方正仿宋_GBK"/>
                <w:sz w:val="24"/>
                <w:szCs w:val="24"/>
              </w:rPr>
              <w:t>1000</w:t>
            </w:r>
          </w:p>
        </w:tc>
        <w:tc>
          <w:tcPr>
            <w:tcW w:w="1184" w:type="dxa"/>
            <w:vAlign w:val="center"/>
          </w:tcPr>
          <w:p w14:paraId="6655669E">
            <w:pPr>
              <w:jc w:val="center"/>
              <w:rPr>
                <w:rFonts w:eastAsia="方正仿宋_GBK"/>
                <w:sz w:val="24"/>
                <w:szCs w:val="24"/>
              </w:rPr>
            </w:pPr>
            <w:r>
              <w:rPr>
                <w:rFonts w:eastAsia="方正仿宋_GBK"/>
                <w:sz w:val="24"/>
                <w:szCs w:val="24"/>
              </w:rPr>
              <w:t>8.28%</w:t>
            </w:r>
          </w:p>
        </w:tc>
      </w:tr>
      <w:tr w14:paraId="79B0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07CD5240">
            <w:pPr>
              <w:jc w:val="center"/>
              <w:rPr>
                <w:rFonts w:eastAsia="方正仿宋_GBK"/>
                <w:sz w:val="24"/>
                <w:szCs w:val="24"/>
              </w:rPr>
            </w:pPr>
            <w:r>
              <w:rPr>
                <w:rFonts w:eastAsia="方正仿宋_GBK"/>
                <w:sz w:val="24"/>
                <w:szCs w:val="24"/>
              </w:rPr>
              <w:t>全社会R&amp;D经费支出占GDP比重</w:t>
            </w:r>
          </w:p>
        </w:tc>
        <w:tc>
          <w:tcPr>
            <w:tcW w:w="993" w:type="dxa"/>
            <w:vAlign w:val="center"/>
          </w:tcPr>
          <w:p w14:paraId="1AC5BFCB">
            <w:pPr>
              <w:jc w:val="center"/>
              <w:rPr>
                <w:rFonts w:eastAsia="方正仿宋_GBK"/>
                <w:sz w:val="24"/>
                <w:szCs w:val="24"/>
              </w:rPr>
            </w:pPr>
            <w:r>
              <w:rPr>
                <w:rFonts w:eastAsia="方正仿宋_GBK"/>
                <w:sz w:val="24"/>
                <w:szCs w:val="24"/>
              </w:rPr>
              <w:t>%</w:t>
            </w:r>
          </w:p>
        </w:tc>
        <w:tc>
          <w:tcPr>
            <w:tcW w:w="992" w:type="dxa"/>
            <w:vAlign w:val="center"/>
          </w:tcPr>
          <w:p w14:paraId="5B7CC26C">
            <w:pPr>
              <w:jc w:val="center"/>
              <w:rPr>
                <w:rFonts w:eastAsia="方正仿宋_GBK"/>
                <w:sz w:val="24"/>
                <w:szCs w:val="24"/>
              </w:rPr>
            </w:pPr>
            <w:r>
              <w:rPr>
                <w:rFonts w:eastAsia="方正仿宋_GBK"/>
                <w:sz w:val="24"/>
                <w:szCs w:val="24"/>
              </w:rPr>
              <w:t>3.70</w:t>
            </w:r>
          </w:p>
        </w:tc>
        <w:tc>
          <w:tcPr>
            <w:tcW w:w="1059" w:type="dxa"/>
            <w:vAlign w:val="center"/>
          </w:tcPr>
          <w:p w14:paraId="4150E3EB">
            <w:pPr>
              <w:jc w:val="center"/>
              <w:rPr>
                <w:rFonts w:eastAsia="方正仿宋_GBK"/>
                <w:sz w:val="24"/>
                <w:szCs w:val="24"/>
              </w:rPr>
            </w:pPr>
            <w:r>
              <w:rPr>
                <w:rFonts w:eastAsia="方正仿宋_GBK"/>
                <w:sz w:val="24"/>
                <w:szCs w:val="24"/>
              </w:rPr>
              <w:t>4.3</w:t>
            </w:r>
          </w:p>
        </w:tc>
        <w:tc>
          <w:tcPr>
            <w:tcW w:w="1184" w:type="dxa"/>
            <w:vAlign w:val="center"/>
          </w:tcPr>
          <w:p w14:paraId="330BF394">
            <w:pPr>
              <w:jc w:val="center"/>
              <w:rPr>
                <w:rFonts w:eastAsia="方正仿宋_GBK"/>
                <w:sz w:val="24"/>
                <w:szCs w:val="24"/>
              </w:rPr>
            </w:pPr>
            <w:r>
              <w:rPr>
                <w:rFonts w:eastAsia="方正仿宋_GBK"/>
                <w:sz w:val="24"/>
                <w:szCs w:val="24"/>
              </w:rPr>
              <w:t>3.1%</w:t>
            </w:r>
          </w:p>
        </w:tc>
      </w:tr>
      <w:tr w14:paraId="1815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890" w:type="dxa"/>
            <w:vAlign w:val="center"/>
          </w:tcPr>
          <w:p w14:paraId="478CBD32">
            <w:pPr>
              <w:jc w:val="center"/>
              <w:rPr>
                <w:rFonts w:eastAsia="方正仿宋_GBK"/>
                <w:sz w:val="24"/>
                <w:szCs w:val="24"/>
              </w:rPr>
            </w:pPr>
            <w:r>
              <w:rPr>
                <w:rFonts w:eastAsia="方正仿宋_GBK"/>
                <w:color w:val="000000"/>
                <w:sz w:val="24"/>
                <w:szCs w:val="24"/>
              </w:rPr>
              <w:t>高新技术企业</w:t>
            </w:r>
          </w:p>
        </w:tc>
        <w:tc>
          <w:tcPr>
            <w:tcW w:w="993" w:type="dxa"/>
            <w:vAlign w:val="center"/>
          </w:tcPr>
          <w:p w14:paraId="38DEFA63">
            <w:pPr>
              <w:jc w:val="center"/>
              <w:rPr>
                <w:rFonts w:eastAsia="方正仿宋_GBK"/>
                <w:sz w:val="24"/>
                <w:szCs w:val="24"/>
              </w:rPr>
            </w:pPr>
            <w:r>
              <w:rPr>
                <w:rFonts w:eastAsia="方正仿宋_GBK"/>
                <w:sz w:val="24"/>
                <w:szCs w:val="24"/>
              </w:rPr>
              <w:t>个</w:t>
            </w:r>
          </w:p>
        </w:tc>
        <w:tc>
          <w:tcPr>
            <w:tcW w:w="992" w:type="dxa"/>
            <w:vAlign w:val="center"/>
          </w:tcPr>
          <w:p w14:paraId="5F40ACE3">
            <w:pPr>
              <w:jc w:val="center"/>
              <w:rPr>
                <w:rFonts w:eastAsia="方正仿宋_GBK"/>
                <w:sz w:val="24"/>
                <w:szCs w:val="24"/>
              </w:rPr>
            </w:pPr>
            <w:r>
              <w:rPr>
                <w:rFonts w:eastAsia="方正仿宋_GBK"/>
                <w:sz w:val="24"/>
                <w:szCs w:val="24"/>
              </w:rPr>
              <w:t>22</w:t>
            </w:r>
          </w:p>
        </w:tc>
        <w:tc>
          <w:tcPr>
            <w:tcW w:w="1059" w:type="dxa"/>
            <w:vAlign w:val="center"/>
          </w:tcPr>
          <w:p w14:paraId="5BA9C958">
            <w:pPr>
              <w:jc w:val="center"/>
              <w:rPr>
                <w:rFonts w:eastAsia="方正仿宋_GBK"/>
                <w:sz w:val="24"/>
                <w:szCs w:val="24"/>
              </w:rPr>
            </w:pPr>
            <w:r>
              <w:rPr>
                <w:rFonts w:eastAsia="方正仿宋_GBK"/>
                <w:sz w:val="24"/>
                <w:szCs w:val="24"/>
              </w:rPr>
              <w:t>45</w:t>
            </w:r>
          </w:p>
        </w:tc>
        <w:tc>
          <w:tcPr>
            <w:tcW w:w="1184" w:type="dxa"/>
            <w:vAlign w:val="center"/>
          </w:tcPr>
          <w:p w14:paraId="0462A6E2">
            <w:pPr>
              <w:jc w:val="center"/>
              <w:rPr>
                <w:rFonts w:eastAsia="方正仿宋_GBK"/>
                <w:sz w:val="24"/>
                <w:szCs w:val="24"/>
              </w:rPr>
            </w:pPr>
            <w:r>
              <w:rPr>
                <w:rFonts w:eastAsia="方正仿宋_GBK"/>
                <w:sz w:val="24"/>
                <w:szCs w:val="24"/>
              </w:rPr>
              <w:t>15.4%</w:t>
            </w:r>
          </w:p>
        </w:tc>
      </w:tr>
      <w:bookmarkEnd w:id="63"/>
      <w:bookmarkEnd w:id="64"/>
      <w:bookmarkEnd w:id="65"/>
      <w:bookmarkEnd w:id="66"/>
      <w:bookmarkEnd w:id="67"/>
    </w:tbl>
    <w:p w14:paraId="5429942A">
      <w:pPr>
        <w:spacing w:line="600" w:lineRule="exact"/>
        <w:ind w:firstLine="640" w:firstLineChars="200"/>
        <w:rPr>
          <w:rFonts w:ascii="方正楷体_GBK" w:eastAsia="方正楷体_GBK"/>
          <w:b/>
          <w:sz w:val="32"/>
          <w:szCs w:val="32"/>
        </w:rPr>
      </w:pPr>
      <w:bookmarkStart w:id="68" w:name="_Toc76716279"/>
      <w:bookmarkStart w:id="69" w:name="_Toc21589"/>
      <w:bookmarkStart w:id="70" w:name="_Toc81570002"/>
      <w:bookmarkStart w:id="71" w:name="_Toc4581"/>
      <w:bookmarkStart w:id="72" w:name="_Toc7950"/>
      <w:bookmarkStart w:id="73" w:name="_Toc2600"/>
      <w:bookmarkStart w:id="74" w:name="_Toc68592848"/>
      <w:bookmarkStart w:id="75" w:name="_Toc74645081"/>
      <w:bookmarkStart w:id="76" w:name="_Toc26666"/>
      <w:bookmarkStart w:id="77" w:name="_Toc81570098"/>
      <w:r>
        <w:rPr>
          <w:rFonts w:ascii="方正楷体_GBK" w:eastAsia="方正楷体_GBK"/>
          <w:b/>
          <w:sz w:val="32"/>
          <w:szCs w:val="32"/>
        </w:rPr>
        <w:t>第二节  二〇三五年远景目标</w:t>
      </w:r>
      <w:bookmarkEnd w:id="68"/>
      <w:bookmarkEnd w:id="69"/>
      <w:bookmarkEnd w:id="70"/>
      <w:bookmarkEnd w:id="71"/>
      <w:bookmarkEnd w:id="72"/>
      <w:bookmarkEnd w:id="73"/>
      <w:bookmarkEnd w:id="74"/>
      <w:bookmarkEnd w:id="75"/>
      <w:bookmarkEnd w:id="76"/>
      <w:bookmarkEnd w:id="77"/>
    </w:p>
    <w:p w14:paraId="79947BE3">
      <w:pPr>
        <w:pStyle w:val="30"/>
        <w:spacing w:before="50" w:after="50"/>
        <w:ind w:left="0" w:leftChars="0" w:firstLine="640"/>
        <w:rPr>
          <w:rFonts w:eastAsia="方正仿宋_GBK"/>
          <w:sz w:val="32"/>
          <w:szCs w:val="32"/>
          <w:lang w:val="zh-CN"/>
        </w:rPr>
      </w:pPr>
      <w:r>
        <w:rPr>
          <w:rFonts w:eastAsia="方正仿宋_GBK"/>
          <w:sz w:val="32"/>
          <w:szCs w:val="32"/>
          <w:lang w:val="zh-CN"/>
        </w:rPr>
        <w:t>力争到2035年，曲靖经开区经济实力、科创能力大幅跃升，经济总量和城乡居民人均收入迈上新台阶；基本实现新型工业化、信息化、城镇化、农业现代化，建成现代化经济体系；基本形成绿色生产生活方式，生态保护、环境质量、资源利用水平高于全省平均水平；基本实现社会治理体系和治理能力现代化，公共服务质量提高、布局均衡、供给高效参与国内国际经济合作和竞争优势明显增强，为云南省经济社会平稳健康发展提供有力支撑。</w:t>
      </w:r>
      <w:r>
        <w:rPr>
          <w:rFonts w:eastAsia="方正仿宋_GBK"/>
          <w:sz w:val="32"/>
          <w:szCs w:val="32"/>
          <w:lang w:val="zh-CN"/>
        </w:rPr>
        <w:br w:type="page"/>
      </w:r>
    </w:p>
    <w:bookmarkEnd w:id="26"/>
    <w:bookmarkEnd w:id="27"/>
    <w:bookmarkEnd w:id="28"/>
    <w:p w14:paraId="18231EFF">
      <w:pPr>
        <w:spacing w:beforeLines="100" w:afterLines="100" w:line="600" w:lineRule="exact"/>
        <w:jc w:val="center"/>
        <w:rPr>
          <w:rFonts w:ascii="方正黑体_GBK" w:eastAsia="方正黑体_GBK"/>
          <w:sz w:val="32"/>
          <w:szCs w:val="32"/>
        </w:rPr>
      </w:pPr>
      <w:bookmarkStart w:id="78" w:name="_Toc19280"/>
      <w:bookmarkStart w:id="79" w:name="_Toc15964"/>
      <w:bookmarkStart w:id="80" w:name="_Toc76716280"/>
      <w:bookmarkStart w:id="81" w:name="_Toc25950"/>
      <w:bookmarkStart w:id="82" w:name="_Toc29582"/>
      <w:bookmarkStart w:id="83" w:name="_Toc81570003"/>
      <w:bookmarkStart w:id="84" w:name="_Toc81570099"/>
      <w:bookmarkStart w:id="85" w:name="_Toc734"/>
      <w:bookmarkStart w:id="86" w:name="_Toc74645108"/>
      <w:r>
        <w:rPr>
          <w:rFonts w:hint="eastAsia" w:ascii="方正黑体_GBK" w:eastAsia="方正黑体_GBK"/>
          <w:sz w:val="32"/>
          <w:szCs w:val="32"/>
        </w:rPr>
        <w:t>第五章  坚持科技创新驱动发展</w:t>
      </w:r>
      <w:bookmarkEnd w:id="78"/>
      <w:bookmarkEnd w:id="79"/>
      <w:bookmarkEnd w:id="80"/>
      <w:bookmarkEnd w:id="81"/>
      <w:bookmarkEnd w:id="82"/>
      <w:bookmarkEnd w:id="83"/>
      <w:bookmarkEnd w:id="84"/>
    </w:p>
    <w:p w14:paraId="1DD34374">
      <w:pPr>
        <w:spacing w:line="600" w:lineRule="exact"/>
        <w:ind w:firstLine="600"/>
        <w:rPr>
          <w:rFonts w:eastAsia="方正仿宋_GBK"/>
          <w:sz w:val="32"/>
          <w:szCs w:val="32"/>
          <w:lang w:val="zh-CN"/>
        </w:rPr>
      </w:pPr>
      <w:r>
        <w:rPr>
          <w:rFonts w:eastAsia="方正仿宋_GBK"/>
          <w:sz w:val="32"/>
          <w:szCs w:val="32"/>
          <w:lang w:val="zh-CN"/>
        </w:rPr>
        <w:t>坚持科技创新在经开区建设当中的重要地位，加快突破创新发展技术瓶颈、推进创新平台载体建设、构建科技成果转化体系、激发人才创新创造活力，加快提升经开区核心竞争力，实现高质量跨越式发展。</w:t>
      </w:r>
    </w:p>
    <w:p w14:paraId="29D98841">
      <w:pPr>
        <w:ind w:firstLine="640" w:firstLineChars="200"/>
        <w:rPr>
          <w:rFonts w:ascii="方正楷体_GBK" w:eastAsia="方正楷体_GBK"/>
          <w:b/>
          <w:sz w:val="32"/>
          <w:szCs w:val="32"/>
        </w:rPr>
      </w:pPr>
      <w:bookmarkStart w:id="87" w:name="_Toc81570100"/>
      <w:bookmarkStart w:id="88" w:name="_Toc76716281"/>
      <w:bookmarkStart w:id="89" w:name="_Toc5375"/>
      <w:bookmarkStart w:id="90" w:name="_Toc4424"/>
      <w:bookmarkStart w:id="91" w:name="_Toc81570004"/>
      <w:bookmarkStart w:id="92" w:name="_Toc7168"/>
      <w:bookmarkStart w:id="93" w:name="_Toc19945"/>
      <w:r>
        <w:rPr>
          <w:rFonts w:ascii="方正楷体_GBK" w:eastAsia="方正楷体_GBK"/>
          <w:b/>
          <w:sz w:val="32"/>
          <w:szCs w:val="32"/>
        </w:rPr>
        <w:t>第一节  明确技术创新发展方向</w:t>
      </w:r>
      <w:bookmarkEnd w:id="87"/>
      <w:bookmarkEnd w:id="88"/>
      <w:bookmarkEnd w:id="89"/>
      <w:bookmarkEnd w:id="90"/>
      <w:bookmarkEnd w:id="91"/>
      <w:bookmarkEnd w:id="92"/>
      <w:bookmarkEnd w:id="93"/>
    </w:p>
    <w:p w14:paraId="2ADFD209">
      <w:pPr>
        <w:spacing w:line="600" w:lineRule="exact"/>
        <w:ind w:firstLine="600"/>
        <w:rPr>
          <w:rFonts w:eastAsia="方正仿宋_GBK"/>
          <w:sz w:val="32"/>
          <w:szCs w:val="32"/>
          <w:lang w:val="zh-CN"/>
        </w:rPr>
      </w:pPr>
      <w:r>
        <w:rPr>
          <w:rFonts w:eastAsia="方正仿宋_GBK"/>
          <w:sz w:val="32"/>
          <w:szCs w:val="32"/>
          <w:lang w:val="zh-CN"/>
        </w:rPr>
        <w:t>梳理重要产业在关键技术、基础材料、核心零部件等方面的技术瓶颈，针对关键核心技术进行攻关。重点研究开发大尺寸硅片技术、高功率单晶电池组件、半片或更小片电池片的组件、双面光伏组件的生产技术，N型硅棒拉制技术，N型隧穿氧化钝化接触电池</w:t>
      </w:r>
      <w:r>
        <w:rPr>
          <w:rFonts w:hint="eastAsia" w:eastAsia="方正仿宋_GBK"/>
          <w:sz w:val="32"/>
          <w:szCs w:val="32"/>
          <w:lang w:val="zh-CN"/>
        </w:rPr>
        <w:t>（</w:t>
      </w:r>
      <w:r>
        <w:rPr>
          <w:rFonts w:eastAsia="方正仿宋_GBK"/>
          <w:sz w:val="32"/>
          <w:szCs w:val="32"/>
          <w:lang w:val="zh-CN"/>
        </w:rPr>
        <w:t>TOPCon</w:t>
      </w:r>
      <w:r>
        <w:rPr>
          <w:rFonts w:hint="eastAsia" w:eastAsia="方正仿宋_GBK"/>
          <w:sz w:val="32"/>
          <w:szCs w:val="32"/>
          <w:lang w:val="zh-CN"/>
        </w:rPr>
        <w:t>）</w:t>
      </w:r>
      <w:r>
        <w:rPr>
          <w:rFonts w:eastAsia="方正仿宋_GBK"/>
          <w:sz w:val="32"/>
          <w:szCs w:val="32"/>
          <w:lang w:val="zh-CN"/>
        </w:rPr>
        <w:t>电池技术，N型异质结电池</w:t>
      </w:r>
      <w:r>
        <w:rPr>
          <w:rFonts w:hint="eastAsia" w:eastAsia="方正仿宋_GBK"/>
          <w:sz w:val="32"/>
          <w:szCs w:val="32"/>
          <w:lang w:val="zh-CN"/>
        </w:rPr>
        <w:t>（</w:t>
      </w:r>
      <w:r>
        <w:rPr>
          <w:rFonts w:eastAsia="方正仿宋_GBK"/>
          <w:sz w:val="32"/>
          <w:szCs w:val="32"/>
          <w:lang w:val="zh-CN"/>
        </w:rPr>
        <w:t>HIT</w:t>
      </w:r>
      <w:r>
        <w:rPr>
          <w:rFonts w:hint="eastAsia" w:eastAsia="方正仿宋_GBK"/>
          <w:sz w:val="32"/>
          <w:szCs w:val="32"/>
          <w:lang w:val="zh-CN"/>
        </w:rPr>
        <w:t>）</w:t>
      </w:r>
      <w:r>
        <w:rPr>
          <w:rFonts w:eastAsia="方正仿宋_GBK"/>
          <w:sz w:val="32"/>
          <w:szCs w:val="32"/>
          <w:lang w:val="zh-CN"/>
        </w:rPr>
        <w:t>技术等晶硅电池增效降本共性技术，研究开发纳米磷酸铁锂、碳纳米管、碳纳米管导电液生产新技术、新工艺、新产品。加快基础零部件、基础工艺和关键配套产品的研制及产业化，发展专用生产和检测装备，攻克基础工艺、试验验证等基础共性技术，提升重大技术装备关键零部件及工艺设备配套能力。</w:t>
      </w:r>
    </w:p>
    <w:p w14:paraId="12D4952D">
      <w:pPr>
        <w:ind w:firstLine="640" w:firstLineChars="200"/>
        <w:rPr>
          <w:rFonts w:ascii="方正楷体_GBK" w:eastAsia="方正楷体_GBK"/>
          <w:b/>
          <w:sz w:val="32"/>
          <w:szCs w:val="32"/>
        </w:rPr>
      </w:pPr>
      <w:bookmarkStart w:id="94" w:name="_Toc81570005"/>
      <w:bookmarkStart w:id="95" w:name="_Toc21714"/>
      <w:bookmarkStart w:id="96" w:name="_Toc1939"/>
      <w:bookmarkStart w:id="97" w:name="_Toc76716282"/>
      <w:bookmarkStart w:id="98" w:name="_Toc15542"/>
      <w:bookmarkStart w:id="99" w:name="_Toc81570101"/>
      <w:bookmarkStart w:id="100" w:name="_Toc4126"/>
      <w:r>
        <w:rPr>
          <w:rFonts w:ascii="方正楷体_GBK" w:eastAsia="方正楷体_GBK"/>
          <w:b/>
          <w:sz w:val="32"/>
          <w:szCs w:val="32"/>
        </w:rPr>
        <w:t>第二节  强化企业创新主体地位</w:t>
      </w:r>
      <w:bookmarkEnd w:id="94"/>
      <w:bookmarkEnd w:id="95"/>
      <w:bookmarkEnd w:id="96"/>
      <w:bookmarkEnd w:id="97"/>
      <w:bookmarkEnd w:id="98"/>
      <w:bookmarkEnd w:id="99"/>
      <w:bookmarkEnd w:id="100"/>
    </w:p>
    <w:p w14:paraId="664EBA04">
      <w:pPr>
        <w:spacing w:line="600" w:lineRule="exact"/>
        <w:ind w:firstLine="600"/>
        <w:rPr>
          <w:rFonts w:eastAsia="方正仿宋_GBK"/>
          <w:sz w:val="32"/>
          <w:szCs w:val="32"/>
          <w:lang w:val="zh-CN"/>
        </w:rPr>
      </w:pPr>
      <w:r>
        <w:rPr>
          <w:rFonts w:eastAsia="方正仿宋_GBK"/>
          <w:sz w:val="32"/>
          <w:szCs w:val="32"/>
          <w:lang w:val="zh-CN"/>
        </w:rPr>
        <w:t>强化企业在技术创新决策、研发投入、科研组织和成果转化等方面的主导作用，鼓励企业和行业协会参与制定经开区创新政策。建立完善经开区对企业科技创新的考核评价体系以及扶持管理办法，对排名靠前的企业予以资金等多方面的支持。引导企业建立完善加大技术创新投入的机制，提高研发经费占营业收入比重。明确企业主要负责人对技术研发的责任，加强研发能力和品牌建设，充分发挥其对技术创新的示范引领作用。鼓励企业集团总部以及研发中心入驻经开区，支持并推动规模以上企业设立研发机构。</w:t>
      </w:r>
    </w:p>
    <w:p w14:paraId="520FF1DE">
      <w:pPr>
        <w:ind w:firstLine="640" w:firstLineChars="200"/>
        <w:rPr>
          <w:rFonts w:ascii="方正楷体_GBK" w:eastAsia="方正楷体_GBK"/>
          <w:b/>
          <w:sz w:val="32"/>
          <w:szCs w:val="32"/>
        </w:rPr>
      </w:pPr>
      <w:bookmarkStart w:id="101" w:name="_Toc679"/>
      <w:bookmarkStart w:id="102" w:name="_Toc24199"/>
      <w:bookmarkStart w:id="103" w:name="_Toc81570006"/>
      <w:bookmarkStart w:id="104" w:name="_Toc81570102"/>
      <w:bookmarkStart w:id="105" w:name="_Toc23652"/>
      <w:bookmarkStart w:id="106" w:name="_Toc3473"/>
      <w:bookmarkStart w:id="107" w:name="_Toc76716283"/>
      <w:r>
        <w:rPr>
          <w:rFonts w:hint="eastAsia" w:ascii="方正楷体_GBK" w:eastAsia="方正楷体_GBK"/>
          <w:b/>
          <w:sz w:val="32"/>
          <w:szCs w:val="32"/>
        </w:rPr>
        <w:t>第三节  推进创新平台载体建设</w:t>
      </w:r>
      <w:bookmarkEnd w:id="101"/>
      <w:bookmarkEnd w:id="102"/>
      <w:bookmarkEnd w:id="103"/>
      <w:bookmarkEnd w:id="104"/>
      <w:bookmarkEnd w:id="105"/>
      <w:bookmarkEnd w:id="106"/>
      <w:bookmarkEnd w:id="107"/>
    </w:p>
    <w:p w14:paraId="07155131">
      <w:pPr>
        <w:spacing w:line="600" w:lineRule="exact"/>
        <w:ind w:firstLine="600"/>
        <w:rPr>
          <w:rFonts w:eastAsia="方正仿宋_GBK"/>
          <w:sz w:val="32"/>
          <w:szCs w:val="32"/>
          <w:lang w:val="zh-CN"/>
        </w:rPr>
      </w:pPr>
      <w:r>
        <w:rPr>
          <w:rFonts w:eastAsia="方正仿宋_GBK"/>
          <w:b/>
          <w:sz w:val="32"/>
          <w:szCs w:val="32"/>
          <w:lang w:val="zh-CN"/>
        </w:rPr>
        <w:t>加强创新创业平台载体建设。</w:t>
      </w:r>
      <w:r>
        <w:rPr>
          <w:rFonts w:eastAsia="方正仿宋_GBK"/>
          <w:sz w:val="32"/>
          <w:szCs w:val="32"/>
          <w:lang w:val="zh-CN"/>
        </w:rPr>
        <w:t>围绕产业发展和市场需求，以企业为主体，科技资源为支撑，高端人才为引领，建设一批创新创业平台载体。</w:t>
      </w:r>
      <w:r>
        <w:rPr>
          <w:rFonts w:eastAsia="方正仿宋_GBK"/>
          <w:b/>
          <w:sz w:val="32"/>
          <w:szCs w:val="32"/>
          <w:lang w:val="zh-CN"/>
        </w:rPr>
        <w:t>加强技术创新平台建设。</w:t>
      </w:r>
      <w:r>
        <w:rPr>
          <w:rFonts w:eastAsia="方正仿宋_GBK"/>
          <w:sz w:val="32"/>
          <w:szCs w:val="32"/>
          <w:lang w:val="zh-CN"/>
        </w:rPr>
        <w:t>鼓励企业围绕绿色硅光伏、新能源电池、先进装备制造、生物医药等产业设立国家重点实验室、国家工程技术研究中心、国家能源研发中心、产业技术创新中心、省级重点实验室、企业技术中心等研发机构，整合高层次研发载体，加快现有技术创新平台的升级。</w:t>
      </w:r>
      <w:r>
        <w:rPr>
          <w:rFonts w:eastAsia="方正仿宋_GBK"/>
          <w:b/>
          <w:sz w:val="32"/>
          <w:szCs w:val="32"/>
          <w:lang w:val="zh-CN"/>
        </w:rPr>
        <w:t>加速孵化平台建设。</w:t>
      </w:r>
      <w:r>
        <w:rPr>
          <w:rFonts w:eastAsia="方正仿宋_GBK"/>
          <w:sz w:val="32"/>
          <w:szCs w:val="32"/>
          <w:lang w:val="zh-CN"/>
        </w:rPr>
        <w:t>发挥国家级孵化平台的示范引领作用，加速打造省级孵化器，力争2025年底新增省级科技企业孵化器2家，提高孵化业务能力水平，建立孵化退出机制，确保资源有效利用。</w:t>
      </w:r>
      <w:r>
        <w:rPr>
          <w:rFonts w:eastAsia="方正仿宋_GBK"/>
          <w:b/>
          <w:sz w:val="32"/>
          <w:szCs w:val="32"/>
          <w:lang w:val="zh-CN"/>
        </w:rPr>
        <w:t>探索众创空间建设新模式。</w:t>
      </w:r>
      <w:r>
        <w:rPr>
          <w:rFonts w:eastAsia="方正仿宋_GBK"/>
          <w:sz w:val="32"/>
          <w:szCs w:val="32"/>
          <w:lang w:val="zh-CN"/>
        </w:rPr>
        <w:t>鼓励企业或运营机构利用废旧厂房、闲置房屋、商业设施等打造创客空间、创业咖啡、创新工场等新型孵化载体，鼓励大学生创业，建设创业实践和孵化基地，到2025年底新增众创空间2家、“互联网+”创新创业平台1个。</w:t>
      </w:r>
      <w:r>
        <w:rPr>
          <w:rFonts w:eastAsia="方正仿宋_GBK"/>
          <w:b/>
          <w:sz w:val="32"/>
          <w:szCs w:val="32"/>
          <w:lang w:val="zh-CN"/>
        </w:rPr>
        <w:t>搭建技术交易交流平台。</w:t>
      </w:r>
      <w:r>
        <w:rPr>
          <w:rFonts w:eastAsia="方正仿宋_GBK"/>
          <w:sz w:val="32"/>
          <w:szCs w:val="32"/>
          <w:lang w:val="zh-CN"/>
        </w:rPr>
        <w:t>支持新能源电池、绿色硅光伏等大企业和专业服务机构整合行业创新资源，从硅棒、硅片、新能源电池配套产业等角度出发，支持中小企业推进创新创业平台发展，加强平台间的联系与沟通，促进大企业与中小企业协同创新。</w:t>
      </w:r>
    </w:p>
    <w:p w14:paraId="4FC7414C">
      <w:pPr>
        <w:pStyle w:val="2"/>
        <w:spacing w:after="0"/>
        <w:rPr>
          <w:lang w:val="zh-CN"/>
        </w:rPr>
      </w:pPr>
    </w:p>
    <w:p w14:paraId="20509BB8">
      <w:pPr>
        <w:ind w:firstLine="601"/>
        <w:rPr>
          <w:rFonts w:eastAsia="方正仿宋_GBK"/>
          <w:szCs w:val="32"/>
        </w:rPr>
      </w:pPr>
    </w:p>
    <w:p w14:paraId="678E6C61">
      <w:pPr>
        <w:spacing w:line="600" w:lineRule="exact"/>
        <w:ind w:firstLine="600"/>
        <w:rPr>
          <w:rFonts w:eastAsia="方正仿宋_GBK"/>
          <w:sz w:val="32"/>
          <w:szCs w:val="32"/>
          <w:lang w:val="zh-CN"/>
        </w:rPr>
      </w:pPr>
      <w:r>
        <w:rPr>
          <w:rFonts w:eastAsia="方正仿宋_GBK"/>
          <w:b/>
          <w:sz w:val="32"/>
          <w:szCs w:val="32"/>
          <w:lang w:val="zh-CN"/>
        </w:rPr>
        <w:t>打造产学研创新共同体。</w:t>
      </w:r>
      <w:r>
        <w:rPr>
          <w:rFonts w:eastAsia="方正仿宋_GBK"/>
          <w:sz w:val="32"/>
          <w:szCs w:val="32"/>
          <w:lang w:val="zh-CN"/>
        </w:rPr>
        <w:t>以科技创新为抓手构建新发展格局，瞄准打造世界一流“绿色能源牌”先进制造基地目标，把发展高端制造摆在突出位置，引导经开区内企业增设研发部门，推动区内大型企业与中科院、昆明理工大学等国内高校在关键技术研发中开展合作，支持以技术入股形式促进产业快速发展。共建研发中心、协同创新平台和人才培养基地，针对核心技术展开攻关，提高专利发明数量，力争实现新增发明专利授权50件。推动创新主体有效协同与融合互动，形成“研究开发→产业化→市场化”创新价值链。</w:t>
      </w:r>
    </w:p>
    <w:p w14:paraId="1C3C1425">
      <w:pPr>
        <w:ind w:firstLine="640" w:firstLineChars="200"/>
        <w:rPr>
          <w:rFonts w:ascii="方正楷体_GBK" w:eastAsia="方正楷体_GBK"/>
          <w:b/>
          <w:sz w:val="32"/>
          <w:szCs w:val="32"/>
        </w:rPr>
      </w:pPr>
      <w:bookmarkStart w:id="108" w:name="_Toc17663"/>
      <w:bookmarkStart w:id="109" w:name="_Toc81570103"/>
      <w:bookmarkStart w:id="110" w:name="_Toc18438"/>
      <w:bookmarkStart w:id="111" w:name="_Toc29792"/>
      <w:bookmarkStart w:id="112" w:name="_Toc76716284"/>
      <w:bookmarkStart w:id="113" w:name="_Toc81570007"/>
      <w:bookmarkStart w:id="114" w:name="_Toc9579"/>
      <w:r>
        <w:rPr>
          <w:rFonts w:hint="eastAsia" w:ascii="方正楷体_GBK" w:eastAsia="方正楷体_GBK"/>
          <w:b/>
          <w:sz w:val="32"/>
          <w:szCs w:val="32"/>
        </w:rPr>
        <w:t>第四节  激发科技人才创新活力</w:t>
      </w:r>
      <w:bookmarkEnd w:id="108"/>
      <w:bookmarkEnd w:id="109"/>
      <w:bookmarkEnd w:id="110"/>
      <w:bookmarkEnd w:id="111"/>
      <w:bookmarkEnd w:id="112"/>
      <w:bookmarkEnd w:id="113"/>
      <w:bookmarkEnd w:id="114"/>
    </w:p>
    <w:p w14:paraId="7116D08D">
      <w:pPr>
        <w:spacing w:line="600" w:lineRule="exact"/>
        <w:ind w:firstLine="600"/>
        <w:rPr>
          <w:rFonts w:eastAsia="方正仿宋_GBK"/>
          <w:sz w:val="32"/>
          <w:szCs w:val="32"/>
          <w:lang w:val="zh-CN"/>
        </w:rPr>
      </w:pPr>
      <w:r>
        <w:rPr>
          <w:rFonts w:eastAsia="方正仿宋_GBK"/>
          <w:b/>
          <w:sz w:val="32"/>
          <w:szCs w:val="32"/>
          <w:lang w:val="zh-CN"/>
        </w:rPr>
        <w:t>加强培引科创人才。</w:t>
      </w:r>
      <w:r>
        <w:rPr>
          <w:rFonts w:eastAsia="方正仿宋_GBK"/>
          <w:sz w:val="32"/>
          <w:szCs w:val="32"/>
          <w:lang w:val="zh-CN"/>
        </w:rPr>
        <w:t>聚焦产业发展需要，用好国家、省、市各项人才政策，深入实施经开区“人才特区”战略，大力从周边省市引进与重点产业关联度高、产业发展急需的科技领军人才、高级技术人才和财务、管理、贸易等方面人才。力争在十四五期末，实现引进培育高端科创人才、高层次创业人才和创新团队20人（个）以上，新增省级院士（专家）工作站8个，每千名就业人员的研发人力投入45人以上。大力推进校企合作，搭建集产学研为一体的产业人才培养平台，推动建立以需求为导向的职业院校课程设置体系，加强特色专业建设和课程开发，为经开区主导产业提供有力的技术人才保障。</w:t>
      </w:r>
    </w:p>
    <w:p w14:paraId="33C77345">
      <w:pPr>
        <w:spacing w:line="600" w:lineRule="exact"/>
        <w:ind w:firstLine="600"/>
        <w:rPr>
          <w:rFonts w:eastAsia="方正仿宋_GBK"/>
          <w:sz w:val="32"/>
          <w:szCs w:val="32"/>
          <w:lang w:val="zh-CN"/>
        </w:rPr>
      </w:pPr>
      <w:r>
        <w:rPr>
          <w:rFonts w:eastAsia="方正仿宋_GBK"/>
          <w:b/>
          <w:sz w:val="32"/>
          <w:szCs w:val="32"/>
          <w:lang w:val="zh-CN"/>
        </w:rPr>
        <w:t>健全人才评价和服务保障机制。</w:t>
      </w:r>
      <w:r>
        <w:rPr>
          <w:rFonts w:eastAsia="方正仿宋_GBK"/>
          <w:sz w:val="32"/>
          <w:szCs w:val="32"/>
          <w:lang w:val="zh-CN"/>
        </w:rPr>
        <w:t>对经开区内人才进行多元化评价，健全以创新能力、经营效益、技术转化为导向的人才评价体系，参照评价体系设立不同额度的专项扶持资金，充分激发人才创新创业活力。进一步强化人才关爱，完善人才配套服务，增设经开区人才服务工作站，为经开区培引的各类人才提供户籍办理、出入境、子女入学、医疗保险、创业投资等方面“一站式”服务。</w:t>
      </w:r>
    </w:p>
    <w:p w14:paraId="63EB3546">
      <w:pPr>
        <w:ind w:firstLine="640" w:firstLineChars="200"/>
        <w:rPr>
          <w:rFonts w:ascii="方正楷体_GBK" w:eastAsia="方正楷体_GBK"/>
          <w:b/>
          <w:sz w:val="32"/>
          <w:szCs w:val="32"/>
        </w:rPr>
      </w:pPr>
      <w:bookmarkStart w:id="115" w:name="_Toc7112"/>
      <w:bookmarkStart w:id="116" w:name="_Toc14415"/>
      <w:bookmarkStart w:id="117" w:name="_Toc81570104"/>
      <w:bookmarkStart w:id="118" w:name="_Toc18988"/>
      <w:bookmarkStart w:id="119" w:name="_Toc76716285"/>
      <w:bookmarkStart w:id="120" w:name="_Toc81570008"/>
      <w:bookmarkStart w:id="121" w:name="_Toc6096"/>
      <w:r>
        <w:rPr>
          <w:rFonts w:ascii="方正楷体_GBK" w:eastAsia="方正楷体_GBK"/>
          <w:b/>
          <w:sz w:val="32"/>
          <w:szCs w:val="32"/>
        </w:rPr>
        <w:t>第五节  完善技术创新体制机制</w:t>
      </w:r>
      <w:bookmarkEnd w:id="115"/>
      <w:bookmarkEnd w:id="116"/>
      <w:bookmarkEnd w:id="117"/>
      <w:bookmarkEnd w:id="118"/>
      <w:bookmarkEnd w:id="119"/>
      <w:bookmarkEnd w:id="120"/>
      <w:bookmarkEnd w:id="121"/>
    </w:p>
    <w:p w14:paraId="7D352A2B">
      <w:pPr>
        <w:spacing w:line="600" w:lineRule="exact"/>
        <w:ind w:firstLine="600"/>
        <w:rPr>
          <w:rFonts w:eastAsia="方正仿宋_GBK"/>
          <w:sz w:val="32"/>
          <w:szCs w:val="32"/>
          <w:lang w:val="zh-CN"/>
        </w:rPr>
      </w:pPr>
      <w:r>
        <w:rPr>
          <w:rFonts w:eastAsia="方正仿宋_GBK"/>
          <w:b/>
          <w:sz w:val="32"/>
          <w:szCs w:val="32"/>
          <w:lang w:val="zh-CN"/>
        </w:rPr>
        <w:t>优化科技项目组织管理。</w:t>
      </w:r>
      <w:r>
        <w:rPr>
          <w:rFonts w:eastAsia="方正仿宋_GBK"/>
          <w:sz w:val="32"/>
          <w:szCs w:val="32"/>
          <w:lang w:val="zh-CN"/>
        </w:rPr>
        <w:t>经开区管委会牵头探索实施“揭榜挂帅”制度，梳理重要产业在关键技术、基础材料、核心零部件等方面的技术瓶颈，以重大项目为纽带，以产学研联盟为载体攻克技术瓶颈。增加用于科技创新的财政支出总量，在项目经费、专家组织方面提供支持，保障重点项目高效落实和迅速推进。</w:t>
      </w:r>
    </w:p>
    <w:p w14:paraId="5F08B31D">
      <w:pPr>
        <w:spacing w:line="600" w:lineRule="exact"/>
        <w:ind w:firstLine="600"/>
        <w:rPr>
          <w:rFonts w:eastAsia="方正仿宋_GBK"/>
          <w:sz w:val="32"/>
          <w:szCs w:val="32"/>
          <w:lang w:val="zh-CN"/>
        </w:rPr>
      </w:pPr>
      <w:r>
        <w:rPr>
          <w:rFonts w:eastAsia="方正仿宋_GBK"/>
          <w:b/>
          <w:sz w:val="32"/>
          <w:szCs w:val="32"/>
          <w:lang w:val="zh-CN"/>
        </w:rPr>
        <w:t>健全科技成果转化机制。</w:t>
      </w:r>
      <w:r>
        <w:rPr>
          <w:rFonts w:eastAsia="方正仿宋_GBK"/>
          <w:sz w:val="32"/>
          <w:szCs w:val="32"/>
          <w:lang w:val="zh-CN"/>
        </w:rPr>
        <w:t>健全知识产权公共服务体系，积极引入知识产权咨询中心等第三方机构，强化企业知识产权保护意识，发挥知识产权制度对企业创新的引导作用。加大科技成果转化支持力度，研究设立科技成果转化专项资金，探索设立创投基金，建立健全政府投入和社会投入相结合的多渠道金融支持体系。对积极推动优势产业高端化、新兴产业规模化意义重大的科技成果转化项目，通过“一事一议”的方式提供科技成果转化经费支持。</w:t>
      </w:r>
      <w:bookmarkStart w:id="122" w:name="_Toc76716286"/>
      <w:bookmarkStart w:id="123" w:name="_Toc23232"/>
      <w:bookmarkStart w:id="124" w:name="_Toc21591"/>
      <w:bookmarkStart w:id="125" w:name="_Toc3186"/>
      <w:bookmarkStart w:id="126" w:name="_Toc12901"/>
    </w:p>
    <w:p w14:paraId="2D35A415">
      <w:pPr>
        <w:widowControl/>
        <w:jc w:val="left"/>
        <w:rPr>
          <w:rFonts w:eastAsia="仿宋_GB2312"/>
          <w:bCs/>
          <w:sz w:val="32"/>
          <w:szCs w:val="32"/>
        </w:rPr>
      </w:pPr>
      <w:r>
        <w:rPr>
          <w:rFonts w:eastAsia="仿宋_GB2312"/>
          <w:bCs/>
          <w:sz w:val="32"/>
          <w:szCs w:val="32"/>
        </w:rPr>
        <w:br w:type="page"/>
      </w:r>
    </w:p>
    <w:p w14:paraId="4927E979">
      <w:pPr>
        <w:spacing w:beforeLines="100" w:afterLines="100" w:line="600" w:lineRule="exact"/>
        <w:jc w:val="center"/>
        <w:rPr>
          <w:rFonts w:ascii="方正黑体_GBK" w:eastAsia="方正黑体_GBK"/>
          <w:sz w:val="32"/>
          <w:szCs w:val="32"/>
        </w:rPr>
      </w:pPr>
      <w:bookmarkStart w:id="127" w:name="_Toc81570105"/>
      <w:bookmarkStart w:id="128" w:name="_Toc81570009"/>
      <w:r>
        <w:rPr>
          <w:rFonts w:hint="eastAsia" w:ascii="方正黑体_GBK" w:eastAsia="方正黑体_GBK"/>
          <w:sz w:val="32"/>
          <w:szCs w:val="32"/>
        </w:rPr>
        <w:t>第六章  加快构建现代产业体系</w:t>
      </w:r>
      <w:bookmarkEnd w:id="122"/>
      <w:bookmarkEnd w:id="123"/>
      <w:bookmarkEnd w:id="124"/>
      <w:bookmarkEnd w:id="125"/>
      <w:bookmarkEnd w:id="126"/>
      <w:bookmarkEnd w:id="127"/>
      <w:bookmarkEnd w:id="128"/>
    </w:p>
    <w:p w14:paraId="4B59643B">
      <w:pPr>
        <w:spacing w:line="600" w:lineRule="exact"/>
        <w:ind w:firstLine="600"/>
        <w:rPr>
          <w:rFonts w:eastAsia="方正仿宋_GBK"/>
          <w:sz w:val="32"/>
          <w:szCs w:val="32"/>
          <w:lang w:val="zh-CN"/>
        </w:rPr>
      </w:pPr>
      <w:r>
        <w:rPr>
          <w:rFonts w:eastAsia="方正仿宋_GBK"/>
          <w:sz w:val="32"/>
          <w:szCs w:val="32"/>
          <w:lang w:val="zh-CN"/>
        </w:rPr>
        <w:t>坚持把经开区发展的着力点放在实体经济上，以建设国家级新型工业化产业示范基地为抓手，延伸特色主导产业链条，推进产业结构优化升级，加快经开区数字化赋能，构建实体经济、科技创新、人力资源协同发展的现代产业体系。</w:t>
      </w:r>
    </w:p>
    <w:p w14:paraId="70058D6F">
      <w:pPr>
        <w:spacing w:line="600" w:lineRule="exact"/>
        <w:ind w:firstLine="640" w:firstLineChars="200"/>
        <w:rPr>
          <w:rFonts w:ascii="方正楷体_GBK" w:eastAsia="方正楷体_GBK"/>
          <w:b/>
          <w:sz w:val="32"/>
          <w:szCs w:val="32"/>
        </w:rPr>
      </w:pPr>
      <w:bookmarkStart w:id="129" w:name="_Toc11192"/>
      <w:bookmarkStart w:id="130" w:name="_Toc26181"/>
      <w:bookmarkStart w:id="131" w:name="_Toc81570010"/>
      <w:bookmarkStart w:id="132" w:name="_Toc7564"/>
      <w:bookmarkStart w:id="133" w:name="_Toc81570106"/>
      <w:bookmarkStart w:id="134" w:name="_Toc100"/>
      <w:bookmarkStart w:id="135" w:name="_Toc76716287"/>
      <w:bookmarkStart w:id="136" w:name="_Toc76716288"/>
      <w:bookmarkStart w:id="137" w:name="_Toc14762"/>
      <w:bookmarkStart w:id="138" w:name="_Toc9235"/>
      <w:bookmarkStart w:id="139" w:name="_Toc18340"/>
      <w:bookmarkStart w:id="140" w:name="_Toc14426"/>
      <w:r>
        <w:rPr>
          <w:rFonts w:ascii="方正楷体_GBK" w:eastAsia="方正楷体_GBK"/>
          <w:b/>
          <w:sz w:val="32"/>
          <w:szCs w:val="32"/>
        </w:rPr>
        <w:t>第一节  延伸特色主导产业链条</w:t>
      </w:r>
      <w:bookmarkEnd w:id="129"/>
      <w:bookmarkEnd w:id="130"/>
      <w:bookmarkEnd w:id="131"/>
      <w:bookmarkEnd w:id="132"/>
      <w:bookmarkEnd w:id="133"/>
      <w:bookmarkEnd w:id="134"/>
      <w:bookmarkEnd w:id="135"/>
    </w:p>
    <w:p w14:paraId="47CA8DAD">
      <w:pPr>
        <w:spacing w:line="600" w:lineRule="exact"/>
        <w:ind w:firstLine="600"/>
        <w:rPr>
          <w:rFonts w:ascii="Calibri" w:hAnsi="Calibri"/>
          <w:lang w:val="zh-CN"/>
        </w:rPr>
      </w:pPr>
      <w:r>
        <w:rPr>
          <w:rFonts w:eastAsia="方正仿宋_GBK"/>
          <w:b/>
          <w:sz w:val="32"/>
          <w:szCs w:val="32"/>
          <w:lang w:val="zh-CN"/>
        </w:rPr>
        <w:t>打造</w:t>
      </w:r>
      <w:r>
        <w:rPr>
          <w:rFonts w:eastAsia="方正仿宋_GBK"/>
          <w:b/>
          <w:sz w:val="32"/>
          <w:szCs w:val="32"/>
        </w:rPr>
        <w:t>绿色</w:t>
      </w:r>
      <w:r>
        <w:rPr>
          <w:rFonts w:eastAsia="方正仿宋_GBK"/>
          <w:b/>
          <w:sz w:val="32"/>
          <w:szCs w:val="32"/>
          <w:lang w:val="zh-CN"/>
        </w:rPr>
        <w:t>硅光伏产业集群。</w:t>
      </w:r>
      <w:r>
        <w:rPr>
          <w:rFonts w:hint="eastAsia" w:eastAsia="方正仿宋_GBK"/>
          <w:sz w:val="32"/>
          <w:szCs w:val="32"/>
          <w:lang w:val="zh-CN"/>
        </w:rPr>
        <w:t>坚持“锻造长板、补齐短板”的思路，以“大招商”机制推动产业链精准招商，进一步巩固在硅棒和硅片环节的领先优势，尽快补齐配套产业方面的短板，加快形成并不断扩大电池片和组件产能规模，推动光伏产业链形成闭环，确保产值规模和发展质效处于全球领先地位。</w:t>
      </w:r>
      <w:r>
        <w:rPr>
          <w:rFonts w:eastAsia="方正仿宋_GBK"/>
          <w:sz w:val="32"/>
          <w:szCs w:val="32"/>
          <w:lang w:val="zh-CN"/>
        </w:rPr>
        <w:t>围绕光伏产业重点引进单晶硅棒及切片、电池片、组件及光伏发电系统集成制造企业。完善光伏产业配套体系，重点引入逆变器、碳碳复合材料、胶膜、包材等配套项目。积极引进光伏企业总部、研发、财务、采购、结算等功能性机构，探索光伏应用场景</w:t>
      </w:r>
      <w:r>
        <w:rPr>
          <w:rFonts w:hint="eastAsia" w:eastAsia="方正仿宋_GBK"/>
          <w:sz w:val="32"/>
          <w:szCs w:val="32"/>
          <w:lang w:val="zh-CN"/>
        </w:rPr>
        <w:t>。</w:t>
      </w:r>
      <w:r>
        <w:rPr>
          <w:rFonts w:eastAsia="方正仿宋_GBK"/>
          <w:sz w:val="32"/>
          <w:szCs w:val="32"/>
          <w:lang w:val="zh-CN"/>
        </w:rPr>
        <w:t>建设完善“单晶硅棒—单晶硅片—电池片—组件—应用端”全产业链条，</w:t>
      </w:r>
      <w:r>
        <w:rPr>
          <w:rFonts w:hint="eastAsia" w:eastAsia="方正仿宋_GBK"/>
          <w:sz w:val="32"/>
          <w:szCs w:val="32"/>
          <w:lang w:val="zh-CN"/>
        </w:rPr>
        <w:t>进一步加强</w:t>
      </w:r>
      <w:r>
        <w:rPr>
          <w:rFonts w:eastAsia="方正仿宋_GBK"/>
          <w:sz w:val="32"/>
          <w:szCs w:val="32"/>
          <w:lang w:val="zh-CN"/>
        </w:rPr>
        <w:t>绿色硅光伏产业国际话语权</w:t>
      </w:r>
      <w:r>
        <w:rPr>
          <w:rFonts w:hint="eastAsia" w:eastAsia="方正仿宋_GBK"/>
          <w:sz w:val="32"/>
          <w:szCs w:val="32"/>
          <w:lang w:val="zh-CN"/>
        </w:rPr>
        <w:t>，</w:t>
      </w:r>
      <w:r>
        <w:rPr>
          <w:rFonts w:eastAsia="方正仿宋_GBK"/>
          <w:sz w:val="32"/>
          <w:szCs w:val="32"/>
          <w:lang w:val="zh-CN"/>
        </w:rPr>
        <w:t>力争在</w:t>
      </w:r>
      <w:r>
        <w:rPr>
          <w:rFonts w:hint="eastAsia" w:eastAsia="方正仿宋_GBK"/>
          <w:sz w:val="32"/>
          <w:szCs w:val="32"/>
          <w:lang w:val="zh-CN"/>
        </w:rPr>
        <w:t>“十四五”末期，</w:t>
      </w:r>
      <w:r>
        <w:rPr>
          <w:rFonts w:eastAsia="方正仿宋_GBK"/>
          <w:sz w:val="32"/>
          <w:szCs w:val="32"/>
          <w:lang w:val="zh-CN"/>
        </w:rPr>
        <w:t>形成100GW单晶硅棒、100GW切片、50GW电池片、20GW组件的产能规模</w:t>
      </w:r>
      <w:r>
        <w:rPr>
          <w:rFonts w:hint="eastAsia" w:eastAsia="方正仿宋_GBK"/>
          <w:sz w:val="32"/>
          <w:szCs w:val="32"/>
          <w:lang w:val="zh-CN"/>
        </w:rPr>
        <w:t>，</w:t>
      </w:r>
      <w:r>
        <w:rPr>
          <w:rFonts w:eastAsia="方正仿宋_GBK"/>
          <w:color w:val="000000" w:themeColor="text1"/>
          <w:sz w:val="32"/>
          <w:szCs w:val="32"/>
        </w:rPr>
        <w:t>达产后预计实现产能产值约1</w:t>
      </w:r>
      <w:r>
        <w:rPr>
          <w:rFonts w:hint="eastAsia" w:eastAsia="方正仿宋_GBK"/>
          <w:color w:val="000000" w:themeColor="text1"/>
          <w:sz w:val="32"/>
          <w:szCs w:val="32"/>
        </w:rPr>
        <w:t>7</w:t>
      </w:r>
      <w:r>
        <w:rPr>
          <w:rFonts w:eastAsia="方正仿宋_GBK"/>
          <w:color w:val="000000" w:themeColor="text1"/>
          <w:sz w:val="32"/>
          <w:szCs w:val="32"/>
        </w:rPr>
        <w:t>00亿元以上，</w:t>
      </w:r>
      <w:r>
        <w:rPr>
          <w:rFonts w:eastAsia="方正仿宋_GBK"/>
          <w:sz w:val="32"/>
          <w:szCs w:val="32"/>
          <w:lang w:val="zh-CN"/>
        </w:rPr>
        <w:t>将经开区</w:t>
      </w:r>
      <w:r>
        <w:rPr>
          <w:rFonts w:hint="eastAsia" w:eastAsia="方正仿宋_GBK"/>
          <w:sz w:val="32"/>
          <w:szCs w:val="32"/>
          <w:lang w:val="zh-CN"/>
        </w:rPr>
        <w:t>打造成为</w:t>
      </w:r>
      <w:r>
        <w:rPr>
          <w:rFonts w:eastAsia="方正仿宋_GBK"/>
          <w:sz w:val="32"/>
          <w:szCs w:val="32"/>
          <w:lang w:val="zh-CN"/>
        </w:rPr>
        <w:t>“世界光伏之都”核心区。</w:t>
      </w:r>
    </w:p>
    <w:p w14:paraId="532BAB52">
      <w:pPr>
        <w:spacing w:line="600" w:lineRule="exact"/>
        <w:ind w:firstLine="640" w:firstLineChars="200"/>
        <w:rPr>
          <w:rFonts w:eastAsia="方正仿宋_GBK"/>
          <w:sz w:val="32"/>
          <w:szCs w:val="32"/>
          <w:lang w:val="zh-CN"/>
        </w:rPr>
      </w:pPr>
      <w:r>
        <w:rPr>
          <w:rFonts w:eastAsia="方正仿宋_GBK"/>
          <w:b/>
          <w:sz w:val="32"/>
          <w:szCs w:val="32"/>
          <w:lang w:val="zh-CN"/>
        </w:rPr>
        <w:t>做强新能源电池产业。</w:t>
      </w:r>
      <w:r>
        <w:rPr>
          <w:rFonts w:eastAsia="方正仿宋_GBK"/>
          <w:sz w:val="32"/>
          <w:szCs w:val="32"/>
          <w:lang w:val="zh-CN"/>
        </w:rPr>
        <w:t>培育和引进龙头企业，加大对上下游产业招商引资力度，构建以龙头企业为链主的全产业链配套服务体系。建设以磷酸铁锂正极材料、动力电池、储能电池等为主导的新能源电池产业集群，围绕“材料—电芯—电池—应用”产业链，着力扩规模、延链条、拓应用，形成</w:t>
      </w:r>
      <w:r>
        <w:rPr>
          <w:rFonts w:eastAsia="方正仿宋_GBK"/>
          <w:sz w:val="32"/>
          <w:szCs w:val="32"/>
        </w:rPr>
        <w:t>专业性</w:t>
      </w:r>
      <w:r>
        <w:rPr>
          <w:rFonts w:eastAsia="方正仿宋_GBK"/>
          <w:sz w:val="32"/>
          <w:szCs w:val="32"/>
          <w:lang w:val="zh-CN"/>
        </w:rPr>
        <w:t>强、关联度高、技术先进的产业集群，加快形成从设备制造到能源服务的完整新能源产业链，打造全球重要的新能源电池研发、测试和制造中心</w:t>
      </w:r>
      <w:r>
        <w:rPr>
          <w:rFonts w:hint="eastAsia" w:eastAsia="方正仿宋_GBK"/>
          <w:sz w:val="32"/>
          <w:szCs w:val="32"/>
          <w:lang w:val="zh-CN"/>
        </w:rPr>
        <w:t>。</w:t>
      </w:r>
      <w:r>
        <w:rPr>
          <w:rFonts w:eastAsia="方正仿宋_GBK"/>
          <w:sz w:val="32"/>
          <w:szCs w:val="32"/>
          <w:lang w:val="zh-CN"/>
        </w:rPr>
        <w:t>力争在</w:t>
      </w:r>
      <w:r>
        <w:rPr>
          <w:rFonts w:hint="eastAsia" w:eastAsia="方正仿宋_GBK"/>
          <w:sz w:val="32"/>
          <w:szCs w:val="32"/>
          <w:lang w:val="zh-CN"/>
        </w:rPr>
        <w:t>“十四五”末期，形成150万吨磷酸盐系正极材料、50万吨负极材料、2.5万吨补锂剂、8000吨导电液、5万吨锂电铜箔、20GWh储能电池、30GWh动力电池，新能源电池产业产能产值达1600亿元以上，建成国内一流的新能源电池产业基地。</w:t>
      </w:r>
    </w:p>
    <w:p w14:paraId="6A3A6C58">
      <w:pPr>
        <w:spacing w:line="600" w:lineRule="exact"/>
        <w:ind w:firstLine="640" w:firstLineChars="200"/>
        <w:rPr>
          <w:rFonts w:ascii="方正楷体_GBK" w:eastAsia="方正楷体_GBK"/>
          <w:b/>
          <w:sz w:val="32"/>
          <w:szCs w:val="32"/>
        </w:rPr>
      </w:pPr>
      <w:bookmarkStart w:id="141" w:name="_Toc81570011"/>
      <w:bookmarkStart w:id="142" w:name="_Toc81570107"/>
      <w:r>
        <w:rPr>
          <w:rFonts w:ascii="方正楷体_GBK" w:eastAsia="方正楷体_GBK"/>
          <w:b/>
          <w:sz w:val="32"/>
          <w:szCs w:val="32"/>
        </w:rPr>
        <w:t>第二节  推进产业结构优化升级</w:t>
      </w:r>
      <w:bookmarkEnd w:id="136"/>
      <w:bookmarkEnd w:id="137"/>
      <w:bookmarkEnd w:id="138"/>
      <w:bookmarkEnd w:id="139"/>
      <w:bookmarkEnd w:id="140"/>
      <w:bookmarkEnd w:id="141"/>
      <w:bookmarkEnd w:id="142"/>
    </w:p>
    <w:p w14:paraId="2615C879">
      <w:pPr>
        <w:spacing w:line="600" w:lineRule="exact"/>
        <w:ind w:firstLine="600"/>
        <w:rPr>
          <w:rFonts w:eastAsia="方正仿宋_GBK"/>
          <w:sz w:val="32"/>
          <w:szCs w:val="32"/>
          <w:lang w:val="zh-CN"/>
        </w:rPr>
      </w:pPr>
      <w:r>
        <w:rPr>
          <w:rFonts w:eastAsia="方正仿宋_GBK"/>
          <w:b/>
          <w:sz w:val="32"/>
          <w:szCs w:val="32"/>
          <w:lang w:val="zh-CN"/>
        </w:rPr>
        <w:t>推动有色金属产业向精深加工转变。</w:t>
      </w:r>
      <w:r>
        <w:rPr>
          <w:rFonts w:eastAsia="方正仿宋_GBK"/>
          <w:sz w:val="32"/>
          <w:szCs w:val="32"/>
          <w:lang w:val="zh-CN"/>
        </w:rPr>
        <w:t>针对装备制造、集成电路、新能源电池等中高端市场产品和服务需求，瞄准国际先进标准，发挥经开区龙头企业的带动作用，以产业聚集为核心，发挥项目集群效应。重点拓展红外镜头、光纤用四氯化锗、高效太阳能电池锗片、高纯金属（铅、锌、锗）、热镀锌等产品，主动融入国内国际产业链供应链，提高产品附加值，提升企业核心竞争力。</w:t>
      </w:r>
    </w:p>
    <w:p w14:paraId="419E4F8B">
      <w:pPr>
        <w:spacing w:line="600" w:lineRule="exact"/>
        <w:ind w:firstLine="600"/>
        <w:rPr>
          <w:rFonts w:eastAsia="方正仿宋_GBK"/>
          <w:sz w:val="32"/>
          <w:szCs w:val="32"/>
          <w:lang w:val="zh-CN"/>
        </w:rPr>
      </w:pPr>
      <w:r>
        <w:rPr>
          <w:rFonts w:eastAsia="方正仿宋_GBK"/>
          <w:b/>
          <w:sz w:val="32"/>
          <w:szCs w:val="32"/>
          <w:lang w:val="zh-CN"/>
        </w:rPr>
        <w:t>推动装备制造业提质增效。</w:t>
      </w:r>
      <w:r>
        <w:rPr>
          <w:rFonts w:eastAsia="方正仿宋_GBK"/>
          <w:sz w:val="32"/>
          <w:szCs w:val="32"/>
          <w:lang w:val="zh-CN"/>
        </w:rPr>
        <w:t>优化技术和装备，培育具有自主知识产权的品牌产品，延伸产业链条，推动装备制造业向先进制造转型。依托重点企业，在汽车配套、军工民用装备、电子信息装备、特色专用装备等领域，开发重型装备、汽车零部件、环保设备、机配件、农用科技等产品。引进具有影响力的大项目、大企业，推进引入项目与本土企业形成良性互动，共同完善产业生态，打造在全省有影响力的先进装备制造业集群。</w:t>
      </w:r>
    </w:p>
    <w:p w14:paraId="49C58525">
      <w:pPr>
        <w:spacing w:line="600" w:lineRule="exact"/>
        <w:ind w:firstLine="600"/>
        <w:rPr>
          <w:rFonts w:eastAsia="方正仿宋_GBK"/>
          <w:b/>
          <w:sz w:val="32"/>
          <w:szCs w:val="32"/>
          <w:lang w:val="zh-CN"/>
        </w:rPr>
      </w:pPr>
      <w:r>
        <w:rPr>
          <w:rFonts w:eastAsia="方正仿宋_GBK"/>
          <w:b/>
          <w:sz w:val="32"/>
          <w:szCs w:val="32"/>
          <w:lang w:val="zh-CN"/>
        </w:rPr>
        <w:t>加快现代物流产业发展。</w:t>
      </w:r>
      <w:r>
        <w:rPr>
          <w:rFonts w:eastAsia="方正仿宋_GBK"/>
          <w:sz w:val="32"/>
          <w:szCs w:val="32"/>
          <w:lang w:val="zh-CN"/>
        </w:rPr>
        <w:t>积极引进国内知名的大型现代物流企业，加强对本地物流企业的培育，支持和引导物流企业间的合作，</w:t>
      </w:r>
      <w:r>
        <w:rPr>
          <w:rFonts w:eastAsia="方正仿宋_GBK"/>
          <w:sz w:val="32"/>
          <w:szCs w:val="32"/>
        </w:rPr>
        <w:t>做大做强一批现代物流企业</w:t>
      </w:r>
      <w:r>
        <w:rPr>
          <w:rFonts w:eastAsia="方正仿宋_GBK"/>
          <w:sz w:val="32"/>
          <w:szCs w:val="32"/>
          <w:lang w:val="zh-CN"/>
        </w:rPr>
        <w:t>。规划建设综合物流园区，全力打造昆曲一体</w:t>
      </w:r>
      <w:r>
        <w:rPr>
          <w:rFonts w:eastAsia="方正仿宋_GBK"/>
          <w:sz w:val="32"/>
          <w:szCs w:val="32"/>
        </w:rPr>
        <w:t>化</w:t>
      </w:r>
      <w:r>
        <w:rPr>
          <w:rFonts w:eastAsia="方正仿宋_GBK"/>
          <w:sz w:val="32"/>
          <w:szCs w:val="32"/>
          <w:lang w:val="zh-CN"/>
        </w:rPr>
        <w:t>物流枢纽，</w:t>
      </w:r>
      <w:r>
        <w:rPr>
          <w:rFonts w:eastAsia="方正仿宋_GBK"/>
          <w:sz w:val="32"/>
          <w:szCs w:val="32"/>
        </w:rPr>
        <w:t>形成</w:t>
      </w:r>
      <w:r>
        <w:rPr>
          <w:rFonts w:eastAsia="方正仿宋_GBK"/>
          <w:sz w:val="32"/>
          <w:szCs w:val="32"/>
          <w:lang w:val="zh-CN"/>
        </w:rPr>
        <w:t>国际国内物流重要节点。</w:t>
      </w:r>
      <w:r>
        <w:rPr>
          <w:rFonts w:eastAsia="方正仿宋_GBK"/>
          <w:sz w:val="32"/>
          <w:szCs w:val="32"/>
        </w:rPr>
        <w:t>完善</w:t>
      </w:r>
      <w:r>
        <w:rPr>
          <w:rFonts w:eastAsia="方正仿宋_GBK"/>
          <w:sz w:val="32"/>
          <w:szCs w:val="32"/>
          <w:lang w:val="zh-CN"/>
        </w:rPr>
        <w:t>物流车辆交通管理，</w:t>
      </w:r>
      <w:r>
        <w:rPr>
          <w:rFonts w:eastAsia="方正仿宋_GBK"/>
          <w:sz w:val="32"/>
          <w:szCs w:val="32"/>
        </w:rPr>
        <w:t>合理规划经开区内交通管线，</w:t>
      </w:r>
      <w:r>
        <w:rPr>
          <w:rFonts w:eastAsia="方正仿宋_GBK"/>
          <w:sz w:val="32"/>
          <w:szCs w:val="32"/>
          <w:lang w:val="zh-CN"/>
        </w:rPr>
        <w:t>提高运输车辆通行效率，降低企业物流成本。大力推动制造业与物流业联动发展，鼓励支持制造业企业与第三方物流企业进行合作，共同构建物流服务体系。支持推动食品行业与冷链物流的协同发展，建立主要农产品冷链物流工程，提升冷链物流标准化、信息化、智能化和协同化水平。</w:t>
      </w:r>
    </w:p>
    <w:p w14:paraId="2A850957">
      <w:pPr>
        <w:spacing w:line="600" w:lineRule="exact"/>
        <w:ind w:firstLine="600"/>
        <w:rPr>
          <w:rFonts w:eastAsia="方正仿宋_GBK"/>
          <w:sz w:val="32"/>
          <w:szCs w:val="32"/>
          <w:lang w:val="zh-CN"/>
        </w:rPr>
      </w:pPr>
      <w:r>
        <w:rPr>
          <w:rFonts w:eastAsia="方正仿宋_GBK"/>
          <w:b/>
          <w:sz w:val="32"/>
          <w:szCs w:val="32"/>
          <w:lang w:val="zh-CN"/>
        </w:rPr>
        <w:t>推动文化旅游产业发展。</w:t>
      </w:r>
      <w:r>
        <w:rPr>
          <w:rFonts w:eastAsia="方正仿宋_GBK"/>
          <w:sz w:val="32"/>
          <w:szCs w:val="32"/>
          <w:lang w:val="zh-CN"/>
        </w:rPr>
        <w:t>围绕“一部手机游云南”建设，深化旅游供给侧结构性改革，纵深推进“旅游革命”。主动融入滇中国际化城市文旅核心圈，推动全域旅游发展。融入长征国家文化公园建设，充分挖掘曲靖爨文化、红色文化、少数民族文化</w:t>
      </w:r>
      <w:r>
        <w:rPr>
          <w:rFonts w:eastAsia="方正仿宋_GBK"/>
          <w:sz w:val="32"/>
          <w:szCs w:val="32"/>
        </w:rPr>
        <w:t>等</w:t>
      </w:r>
      <w:r>
        <w:rPr>
          <w:rFonts w:eastAsia="方正仿宋_GBK"/>
          <w:sz w:val="32"/>
          <w:szCs w:val="32"/>
          <w:lang w:val="zh-CN"/>
        </w:rPr>
        <w:t>，重点打造一批文旅融合小镇、文化产业园区和示范基地，开发红色精品线路。结合乡村振兴打造观光农业、休闲农家乐一日游，加快投资建设一批新旅游项目，规划建设国家地质公园。</w:t>
      </w:r>
    </w:p>
    <w:p w14:paraId="0DD45487">
      <w:pPr>
        <w:spacing w:line="600" w:lineRule="exact"/>
        <w:ind w:firstLine="640" w:firstLineChars="200"/>
        <w:rPr>
          <w:rFonts w:eastAsia="方正仿宋_GBK"/>
          <w:sz w:val="32"/>
          <w:szCs w:val="32"/>
          <w:lang w:val="zh-CN"/>
        </w:rPr>
      </w:pPr>
      <w:r>
        <w:rPr>
          <w:rFonts w:eastAsia="方正仿宋_GBK"/>
          <w:b/>
          <w:sz w:val="32"/>
          <w:szCs w:val="32"/>
          <w:lang w:val="zh-CN"/>
        </w:rPr>
        <w:t>大力发展大健康产业。</w:t>
      </w:r>
      <w:r>
        <w:rPr>
          <w:rFonts w:eastAsia="方正仿宋_GBK"/>
          <w:sz w:val="32"/>
          <w:szCs w:val="32"/>
          <w:lang w:val="zh-CN"/>
        </w:rPr>
        <w:t>充分发挥经开区气候条件和生态环境优势，发展生物医药、绿色食品、康养相融合的大健康产业，把经开区建成健康生活目的地。</w:t>
      </w:r>
      <w:r>
        <w:rPr>
          <w:rFonts w:eastAsia="方正仿宋_GBK"/>
          <w:b/>
          <w:sz w:val="32"/>
          <w:szCs w:val="32"/>
          <w:lang w:val="zh-CN"/>
        </w:rPr>
        <w:t>加快发展生物医药产业。</w:t>
      </w:r>
      <w:r>
        <w:rPr>
          <w:rFonts w:eastAsia="方正仿宋_GBK"/>
          <w:sz w:val="32"/>
          <w:szCs w:val="32"/>
          <w:lang w:val="zh-CN"/>
        </w:rPr>
        <w:t>深入挖掘云南省地方医药与民族医药价值，结合国际生物医药产业技术发展最新趋势，重点发展中药饮片、中药制品、精准医疗、医疗器械等生物医药产业。</w:t>
      </w:r>
      <w:r>
        <w:rPr>
          <w:rFonts w:eastAsia="方正仿宋_GBK"/>
          <w:b/>
          <w:sz w:val="32"/>
          <w:szCs w:val="32"/>
          <w:lang w:val="zh-CN"/>
        </w:rPr>
        <w:t>推动绿色食品产业发展。</w:t>
      </w:r>
      <w:r>
        <w:rPr>
          <w:rFonts w:eastAsia="方正仿宋_GBK"/>
          <w:sz w:val="32"/>
          <w:szCs w:val="32"/>
          <w:lang w:val="zh-CN"/>
        </w:rPr>
        <w:t>依托经开区骨干企业及重点项目，着力引进具有研发能力和市场推广能力的食品和饮品加工企业，重点打造以</w:t>
      </w:r>
      <w:r>
        <w:rPr>
          <w:rFonts w:eastAsia="方正仿宋_GBK"/>
          <w:sz w:val="32"/>
          <w:szCs w:val="32"/>
        </w:rPr>
        <w:t>有机水果</w:t>
      </w:r>
      <w:r>
        <w:rPr>
          <w:rFonts w:eastAsia="方正仿宋_GBK"/>
          <w:sz w:val="32"/>
          <w:szCs w:val="32"/>
          <w:lang w:val="zh-CN"/>
        </w:rPr>
        <w:t>、虾青素等为主导的绿色食品及保健品产业。</w:t>
      </w:r>
      <w:r>
        <w:rPr>
          <w:rFonts w:eastAsia="方正仿宋_GBK"/>
          <w:b/>
          <w:sz w:val="32"/>
          <w:szCs w:val="32"/>
          <w:lang w:val="zh-CN"/>
        </w:rPr>
        <w:t>助推康养产业的发展。</w:t>
      </w:r>
      <w:r>
        <w:rPr>
          <w:rFonts w:eastAsia="方正仿宋_GBK"/>
          <w:sz w:val="32"/>
          <w:szCs w:val="32"/>
          <w:lang w:val="zh-CN"/>
        </w:rPr>
        <w:t>依托位于经开区的区域医疗中心资源，按照智慧养老的相关要求，推动建设以养老、康复、理疗为主的经开区老年公寓。</w:t>
      </w:r>
    </w:p>
    <w:p w14:paraId="13D1E5F3">
      <w:pPr>
        <w:spacing w:line="600" w:lineRule="exact"/>
        <w:ind w:firstLine="640" w:firstLineChars="200"/>
        <w:rPr>
          <w:rFonts w:ascii="方正楷体_GBK" w:eastAsia="方正楷体_GBK"/>
          <w:b/>
          <w:sz w:val="32"/>
          <w:szCs w:val="32"/>
        </w:rPr>
      </w:pPr>
      <w:bookmarkStart w:id="143" w:name="_Toc81570012"/>
      <w:bookmarkStart w:id="144" w:name="_Toc81570108"/>
      <w:r>
        <w:rPr>
          <w:rFonts w:ascii="方正楷体_GBK" w:eastAsia="方正楷体_GBK"/>
          <w:b/>
          <w:sz w:val="32"/>
          <w:szCs w:val="32"/>
        </w:rPr>
        <w:t xml:space="preserve">第三节  </w:t>
      </w:r>
      <w:r>
        <w:rPr>
          <w:rFonts w:hint="eastAsia" w:ascii="方正楷体_GBK" w:eastAsia="方正楷体_GBK"/>
          <w:b/>
          <w:sz w:val="32"/>
          <w:szCs w:val="32"/>
        </w:rPr>
        <w:t>加快经开区数字化赋能</w:t>
      </w:r>
      <w:bookmarkEnd w:id="143"/>
      <w:bookmarkEnd w:id="144"/>
    </w:p>
    <w:p w14:paraId="05EB30CD">
      <w:pPr>
        <w:spacing w:line="600" w:lineRule="exact"/>
        <w:ind w:firstLine="600"/>
        <w:rPr>
          <w:rFonts w:eastAsia="方正仿宋_GBK"/>
          <w:b/>
          <w:sz w:val="32"/>
          <w:szCs w:val="32"/>
          <w:lang w:val="zh-CN"/>
        </w:rPr>
      </w:pPr>
      <w:r>
        <w:rPr>
          <w:rFonts w:eastAsia="方正仿宋_GBK"/>
          <w:b/>
          <w:sz w:val="32"/>
          <w:szCs w:val="32"/>
          <w:lang w:val="zh-CN"/>
        </w:rPr>
        <w:t>加快布局新型基础设施。</w:t>
      </w:r>
      <w:r>
        <w:rPr>
          <w:rFonts w:eastAsia="方正仿宋_GBK"/>
          <w:sz w:val="32"/>
          <w:szCs w:val="32"/>
          <w:lang w:val="zh-CN"/>
        </w:rPr>
        <w:t>以建设南海子“全国一体化数据产业园”为抓手，夯实通信网络基础设施建设，加快经开区及周边配套设施的5G基站建设和网络覆盖，推动5G、光纤宽带、IPV6、NB-IoT、云计算等新一代网络技术的建设及应用。优化互联网骨干网络架构，实施光纤宽带提速扩容计划，提高网间流量疏导能力和互通效率。部署低时延、高可靠、广覆盖的网络基础设施，全面夯实基础网络支撑能力，建成云计算中心，将工投商道、南海子工业片区、西城工业片区打造成为5G智慧园区。</w:t>
      </w:r>
    </w:p>
    <w:p w14:paraId="59E53339">
      <w:pPr>
        <w:spacing w:line="600" w:lineRule="exact"/>
        <w:ind w:firstLine="600"/>
        <w:rPr>
          <w:rFonts w:eastAsia="方正仿宋_GBK"/>
          <w:sz w:val="32"/>
          <w:szCs w:val="32"/>
          <w:lang w:val="zh-CN"/>
        </w:rPr>
      </w:pPr>
      <w:r>
        <w:rPr>
          <w:rFonts w:eastAsia="方正仿宋_GBK"/>
          <w:b/>
          <w:sz w:val="32"/>
          <w:szCs w:val="32"/>
          <w:lang w:val="zh-CN"/>
        </w:rPr>
        <w:t>推动产业数字化赋能。</w:t>
      </w:r>
      <w:r>
        <w:rPr>
          <w:rFonts w:eastAsia="方正仿宋_GBK"/>
          <w:sz w:val="32"/>
          <w:szCs w:val="32"/>
          <w:lang w:val="zh-CN"/>
        </w:rPr>
        <w:t>推进工业化和数字化</w:t>
      </w:r>
      <w:r>
        <w:rPr>
          <w:rFonts w:eastAsia="方正仿宋_GBK"/>
          <w:sz w:val="32"/>
          <w:szCs w:val="32"/>
        </w:rPr>
        <w:t>深度融合，</w:t>
      </w:r>
      <w:r>
        <w:rPr>
          <w:rFonts w:eastAsia="方正仿宋_GBK"/>
          <w:sz w:val="32"/>
          <w:szCs w:val="32"/>
          <w:lang w:val="zh-CN"/>
        </w:rPr>
        <w:t>实施工业互联网创新发展工程，建设省级工业互联网一体化发展示范区。加速农业、制造业等数字化改造，提高产业智能化水平，支持重点企业进行数字化应用示范，通过“数字经开”的实施，带动和引导企业加快“上云”进程。打通经开区数据通道，实现经开区企业与管委会间的数据共享，提高经开区整体数字化改造水平。</w:t>
      </w:r>
    </w:p>
    <w:p w14:paraId="52B9C8A4">
      <w:pPr>
        <w:spacing w:line="600" w:lineRule="exact"/>
        <w:ind w:firstLine="600"/>
        <w:rPr>
          <w:rFonts w:eastAsia="方正仿宋_GBK"/>
          <w:sz w:val="32"/>
          <w:szCs w:val="32"/>
          <w:lang w:val="zh-CN"/>
        </w:rPr>
      </w:pPr>
      <w:r>
        <w:rPr>
          <w:rFonts w:eastAsia="方正仿宋_GBK"/>
          <w:b/>
          <w:sz w:val="32"/>
          <w:szCs w:val="32"/>
        </w:rPr>
        <w:t>大力发展数字产业</w:t>
      </w:r>
      <w:r>
        <w:rPr>
          <w:rFonts w:eastAsia="方正仿宋_GBK"/>
          <w:b/>
          <w:sz w:val="32"/>
          <w:szCs w:val="32"/>
          <w:lang w:val="zh-CN"/>
        </w:rPr>
        <w:t>。</w:t>
      </w:r>
      <w:r>
        <w:rPr>
          <w:rFonts w:eastAsia="方正仿宋_GBK"/>
          <w:sz w:val="32"/>
          <w:szCs w:val="32"/>
          <w:lang w:val="zh-CN"/>
        </w:rPr>
        <w:t>积极引进人工智能、云计算、区块链等新技术行业头部企业入园落户，推动重点工程建设，提升经开区信息产业水平，打造数字经济示范区，到2025年争取建成5G+工业互联网示范区。</w:t>
      </w:r>
    </w:p>
    <w:p w14:paraId="68B3675A">
      <w:pPr>
        <w:widowControl/>
        <w:jc w:val="left"/>
        <w:rPr>
          <w:rFonts w:eastAsia="黑体"/>
          <w:bCs/>
          <w:kern w:val="44"/>
          <w:sz w:val="32"/>
          <w:szCs w:val="32"/>
        </w:rPr>
      </w:pPr>
      <w:bookmarkStart w:id="145" w:name="_Toc76716290"/>
      <w:bookmarkStart w:id="146" w:name="_Toc21429"/>
      <w:bookmarkStart w:id="147" w:name="_Toc12825"/>
      <w:bookmarkStart w:id="148" w:name="_Toc18790"/>
      <w:bookmarkStart w:id="149" w:name="_Toc30259"/>
      <w:r>
        <w:rPr>
          <w:sz w:val="32"/>
          <w:szCs w:val="32"/>
        </w:rPr>
        <w:br w:type="page"/>
      </w:r>
    </w:p>
    <w:p w14:paraId="0047EEF7">
      <w:pPr>
        <w:spacing w:beforeLines="100" w:afterLines="100" w:line="600" w:lineRule="exact"/>
        <w:jc w:val="center"/>
        <w:rPr>
          <w:rFonts w:ascii="方正黑体_GBK" w:eastAsia="方正黑体_GBK"/>
          <w:sz w:val="32"/>
          <w:szCs w:val="32"/>
        </w:rPr>
      </w:pPr>
      <w:bookmarkStart w:id="150" w:name="_Toc81570013"/>
      <w:bookmarkStart w:id="151" w:name="_Toc81570109"/>
      <w:r>
        <w:rPr>
          <w:rFonts w:hint="eastAsia" w:ascii="方正黑体_GBK" w:eastAsia="方正黑体_GBK"/>
          <w:sz w:val="32"/>
          <w:szCs w:val="32"/>
        </w:rPr>
        <w:t>第七章  提升对内对外开放水平</w:t>
      </w:r>
      <w:bookmarkEnd w:id="145"/>
      <w:bookmarkEnd w:id="146"/>
      <w:bookmarkEnd w:id="147"/>
      <w:bookmarkEnd w:id="148"/>
      <w:bookmarkEnd w:id="149"/>
      <w:bookmarkEnd w:id="150"/>
      <w:bookmarkEnd w:id="151"/>
    </w:p>
    <w:p w14:paraId="7297C78D">
      <w:pPr>
        <w:spacing w:line="600" w:lineRule="exact"/>
        <w:ind w:firstLine="600"/>
        <w:rPr>
          <w:rFonts w:eastAsia="方正仿宋_GBK"/>
          <w:sz w:val="32"/>
          <w:szCs w:val="32"/>
        </w:rPr>
      </w:pPr>
      <w:r>
        <w:rPr>
          <w:rFonts w:eastAsia="方正仿宋_GBK"/>
          <w:sz w:val="32"/>
          <w:szCs w:val="32"/>
          <w:lang w:val="zh-CN"/>
        </w:rPr>
        <w:t>立足经开区区位优势和产业基础，积极融入并服务于新发展格局，主动融入国内大循环，对接国内国际双循环。</w:t>
      </w:r>
    </w:p>
    <w:p w14:paraId="16F27011">
      <w:pPr>
        <w:ind w:firstLine="640" w:firstLineChars="200"/>
        <w:rPr>
          <w:rFonts w:ascii="方正楷体_GBK" w:eastAsia="方正楷体_GBK"/>
          <w:b/>
          <w:sz w:val="32"/>
          <w:szCs w:val="32"/>
        </w:rPr>
      </w:pPr>
      <w:bookmarkStart w:id="152" w:name="_Toc76716291"/>
      <w:bookmarkStart w:id="153" w:name="_Toc14522"/>
      <w:bookmarkStart w:id="154" w:name="_Toc693"/>
      <w:bookmarkStart w:id="155" w:name="_Toc12669"/>
      <w:bookmarkStart w:id="156" w:name="_Toc31185"/>
      <w:bookmarkStart w:id="157" w:name="_Toc81570014"/>
      <w:bookmarkStart w:id="158" w:name="_Toc81570110"/>
      <w:bookmarkStart w:id="159" w:name="_Toc68592859"/>
      <w:r>
        <w:rPr>
          <w:rFonts w:ascii="方正楷体_GBK" w:eastAsia="方正楷体_GBK"/>
          <w:b/>
          <w:sz w:val="32"/>
          <w:szCs w:val="32"/>
        </w:rPr>
        <w:t>第一节  主动融入国内大循环</w:t>
      </w:r>
      <w:bookmarkEnd w:id="152"/>
      <w:bookmarkEnd w:id="153"/>
      <w:bookmarkEnd w:id="154"/>
      <w:bookmarkEnd w:id="155"/>
      <w:bookmarkEnd w:id="156"/>
      <w:bookmarkEnd w:id="157"/>
      <w:bookmarkEnd w:id="158"/>
    </w:p>
    <w:bookmarkEnd w:id="159"/>
    <w:p w14:paraId="186BEFA5">
      <w:pPr>
        <w:spacing w:line="600" w:lineRule="exact"/>
        <w:ind w:firstLine="600"/>
        <w:rPr>
          <w:rFonts w:eastAsia="方正仿宋_GBK"/>
          <w:sz w:val="32"/>
          <w:szCs w:val="32"/>
          <w:lang w:val="zh-CN"/>
        </w:rPr>
      </w:pPr>
      <w:r>
        <w:rPr>
          <w:rFonts w:eastAsia="方正仿宋_GBK"/>
          <w:b/>
          <w:sz w:val="32"/>
          <w:szCs w:val="32"/>
          <w:lang w:val="zh-CN"/>
        </w:rPr>
        <w:t>统筹优化经开区各</w:t>
      </w:r>
      <w:r>
        <w:rPr>
          <w:rFonts w:eastAsia="方正仿宋_GBK"/>
          <w:b/>
          <w:sz w:val="32"/>
          <w:szCs w:val="32"/>
        </w:rPr>
        <w:t>片区</w:t>
      </w:r>
      <w:r>
        <w:rPr>
          <w:rFonts w:eastAsia="方正仿宋_GBK"/>
          <w:b/>
          <w:sz w:val="32"/>
          <w:szCs w:val="32"/>
          <w:lang w:val="zh-CN"/>
        </w:rPr>
        <w:t>协同发展。</w:t>
      </w:r>
      <w:r>
        <w:rPr>
          <w:rFonts w:eastAsia="方正仿宋_GBK"/>
          <w:sz w:val="32"/>
          <w:szCs w:val="32"/>
          <w:lang w:val="zh-CN"/>
        </w:rPr>
        <w:t>根据经开区在全市的功能定位、自身发展基础以及发展趋势，按照“一轴串联、双核推动、绿环绕城、两区共生”的总体布局协同发展。南海子片区重点发展绿色硅光伏、智能制造、生产型物流、现代服务业产业，建设成为曲靖市的经济增长极和工业生产基地。西城片区以发展新能源电池、有色金属精深加工、先进装备制造为主，生物医药、信息产业为辅，着力打造曲靖</w:t>
      </w:r>
      <w:r>
        <w:rPr>
          <w:rFonts w:eastAsia="方正仿宋_GBK"/>
          <w:sz w:val="32"/>
          <w:szCs w:val="32"/>
        </w:rPr>
        <w:t>市</w:t>
      </w:r>
      <w:r>
        <w:rPr>
          <w:rFonts w:eastAsia="方正仿宋_GBK"/>
          <w:sz w:val="32"/>
          <w:szCs w:val="32"/>
          <w:lang w:val="zh-CN"/>
        </w:rPr>
        <w:t>“产城融合”先行示范区。在“麒沾马”一体化建设规划引领下，发展“飞地经济”，拓展经开区发展空间，推动形成经开区与周边行政区划的协同发展。</w:t>
      </w:r>
    </w:p>
    <w:p w14:paraId="0C3E530E">
      <w:pPr>
        <w:spacing w:line="600" w:lineRule="exact"/>
        <w:ind w:firstLine="600"/>
        <w:rPr>
          <w:rFonts w:eastAsia="方正仿宋_GBK"/>
          <w:sz w:val="32"/>
          <w:szCs w:val="32"/>
          <w:lang w:val="zh-CN"/>
        </w:rPr>
      </w:pPr>
      <w:r>
        <w:rPr>
          <w:rFonts w:eastAsia="方正仿宋_GBK"/>
          <w:b/>
          <w:sz w:val="32"/>
          <w:szCs w:val="32"/>
          <w:lang w:val="zh-CN"/>
        </w:rPr>
        <w:t>主动融入滇中城市圈。</w:t>
      </w:r>
      <w:r>
        <w:rPr>
          <w:rFonts w:eastAsia="方正仿宋_GBK"/>
          <w:sz w:val="32"/>
          <w:szCs w:val="32"/>
          <w:lang w:val="zh-CN"/>
        </w:rPr>
        <w:t>发挥经开区对滇中城市圈建设的辐射带动作用，加速推动绿色硅光伏、新能源电池等产业的一体化发展。加快现代流通体系建设，完善铁路、公路和航空等流通骨干网络建设，将经开区打造成为滇中城市圈商贸物流的重要节点。</w:t>
      </w:r>
      <w:r>
        <w:rPr>
          <w:rFonts w:eastAsia="方正仿宋_GBK"/>
          <w:sz w:val="32"/>
          <w:szCs w:val="32"/>
        </w:rPr>
        <w:t>推动区域</w:t>
      </w:r>
      <w:r>
        <w:rPr>
          <w:rFonts w:eastAsia="方正仿宋_GBK"/>
          <w:sz w:val="32"/>
          <w:szCs w:val="32"/>
          <w:lang w:val="zh-CN"/>
        </w:rPr>
        <w:t>市场体系一体化建设，发挥自由贸易试验区联动创新区优势，在清理和</w:t>
      </w:r>
      <w:r>
        <w:rPr>
          <w:rFonts w:eastAsia="方正仿宋_GBK"/>
          <w:sz w:val="32"/>
          <w:szCs w:val="32"/>
        </w:rPr>
        <w:t>废止</w:t>
      </w:r>
      <w:r>
        <w:rPr>
          <w:rFonts w:eastAsia="方正仿宋_GBK"/>
          <w:sz w:val="32"/>
          <w:szCs w:val="32"/>
          <w:lang w:val="zh-CN"/>
        </w:rPr>
        <w:t>阻碍生产要素自由流动的体制机制方面先行先试。</w:t>
      </w:r>
    </w:p>
    <w:p w14:paraId="20957CA5">
      <w:pPr>
        <w:spacing w:line="600" w:lineRule="exact"/>
        <w:ind w:firstLine="600"/>
        <w:rPr>
          <w:rFonts w:eastAsia="方正仿宋_GBK"/>
          <w:sz w:val="32"/>
          <w:szCs w:val="32"/>
          <w:lang w:val="zh-CN"/>
        </w:rPr>
      </w:pPr>
      <w:r>
        <w:rPr>
          <w:rFonts w:eastAsia="方正仿宋_GBK"/>
          <w:b/>
          <w:sz w:val="32"/>
          <w:szCs w:val="32"/>
          <w:lang w:val="zh-CN"/>
        </w:rPr>
        <w:t>增强省际与区域交流合作。</w:t>
      </w:r>
      <w:r>
        <w:rPr>
          <w:rFonts w:eastAsia="方正仿宋_GBK"/>
          <w:sz w:val="32"/>
          <w:szCs w:val="32"/>
          <w:lang w:val="zh-CN"/>
        </w:rPr>
        <w:t>深化西南地区区域合作，主动对接成渝经济圈、珠江三角洲等经济圈及重点省市，融入粤桂黔滇高铁经济带，推动曲靖经开区与其他国家级经开区等平台之间的联动错位发展，提升经开区对国内市场需求的适配性，发挥自身优势，重点提高优势领域的供给质量。对接粤港澳大湾区，探索建立合作机制，围绕重点产业开展专场投资合作活动，扩展投资空间，加大招商引资力度，加快融入珠江—西江经济带。充分发挥水电优势，加强与长江经济带的产业协作与配合，搭建绿色硅光伏、新能源电池等重点产业转移促进平台，吸引知名企业生产基地整体转移和关联产业协同转移，推动相关产业转型升级。以推进落实“一带一路”为目标，积极参与西部陆海新通道建设。</w:t>
      </w:r>
    </w:p>
    <w:p w14:paraId="05836B86">
      <w:pPr>
        <w:ind w:firstLine="640" w:firstLineChars="200"/>
        <w:rPr>
          <w:rFonts w:ascii="方正楷体_GBK" w:eastAsia="方正楷体_GBK"/>
          <w:b/>
          <w:sz w:val="32"/>
          <w:szCs w:val="32"/>
        </w:rPr>
      </w:pPr>
      <w:bookmarkStart w:id="160" w:name="_Toc76716292"/>
      <w:bookmarkStart w:id="161" w:name="_Toc81570015"/>
      <w:bookmarkStart w:id="162" w:name="_Toc14798"/>
      <w:bookmarkStart w:id="163" w:name="_Toc31103"/>
      <w:bookmarkStart w:id="164" w:name="_Toc18846"/>
      <w:bookmarkStart w:id="165" w:name="_Toc81570111"/>
      <w:bookmarkStart w:id="166" w:name="_Toc25981"/>
      <w:r>
        <w:rPr>
          <w:rFonts w:ascii="方正楷体_GBK" w:eastAsia="方正楷体_GBK"/>
          <w:b/>
          <w:sz w:val="32"/>
          <w:szCs w:val="32"/>
        </w:rPr>
        <w:t>第二节  推动外贸高质量发展</w:t>
      </w:r>
      <w:bookmarkEnd w:id="160"/>
      <w:bookmarkEnd w:id="161"/>
      <w:bookmarkEnd w:id="162"/>
      <w:bookmarkEnd w:id="163"/>
      <w:bookmarkEnd w:id="164"/>
      <w:bookmarkEnd w:id="165"/>
      <w:bookmarkEnd w:id="166"/>
    </w:p>
    <w:p w14:paraId="783D74B3">
      <w:pPr>
        <w:spacing w:line="600" w:lineRule="exact"/>
        <w:ind w:firstLine="600"/>
        <w:rPr>
          <w:rFonts w:eastAsia="方正仿宋_GBK"/>
          <w:b/>
          <w:sz w:val="32"/>
          <w:szCs w:val="32"/>
          <w:lang w:val="zh-CN"/>
        </w:rPr>
      </w:pPr>
      <w:r>
        <w:rPr>
          <w:rFonts w:eastAsia="方正仿宋_GBK"/>
          <w:b/>
          <w:sz w:val="32"/>
          <w:szCs w:val="32"/>
          <w:lang w:val="zh-CN"/>
        </w:rPr>
        <w:t>大力发展加工贸易。</w:t>
      </w:r>
      <w:r>
        <w:rPr>
          <w:rFonts w:eastAsia="方正仿宋_GBK"/>
          <w:sz w:val="32"/>
          <w:szCs w:val="32"/>
          <w:lang w:val="zh-CN"/>
        </w:rPr>
        <w:t>落实曲靖市已</w:t>
      </w:r>
      <w:r>
        <w:rPr>
          <w:rFonts w:eastAsia="方正仿宋_GBK"/>
          <w:sz w:val="32"/>
          <w:szCs w:val="32"/>
        </w:rPr>
        <w:t>有</w:t>
      </w:r>
      <w:r>
        <w:rPr>
          <w:rFonts w:eastAsia="方正仿宋_GBK"/>
          <w:sz w:val="32"/>
          <w:szCs w:val="32"/>
          <w:lang w:val="zh-CN"/>
        </w:rPr>
        <w:t>奖励和激励机制，鼓励优势行业龙头企业大力发展加工贸易。建设外向型出口加工贸易基地，引进国际产业转移和沿海发达地区产业转移的加工贸易企业入驻开展加工贸易，引导本地有出口优势的企业进驻进行深加工，培育一批加工链长、技术含量高、“两头在外”的加工贸易企业。建设冶金化工出口深加工基地，</w:t>
      </w:r>
      <w:r>
        <w:rPr>
          <w:rFonts w:eastAsia="方正仿宋_GBK"/>
          <w:spacing w:val="-4"/>
          <w:sz w:val="32"/>
          <w:szCs w:val="32"/>
          <w:lang w:val="zh-CN"/>
        </w:rPr>
        <w:t>扶持冶金化工行业产品深加工，延伸产业链，提高商品附加值。</w:t>
      </w:r>
    </w:p>
    <w:p w14:paraId="1D6A332A">
      <w:pPr>
        <w:spacing w:line="600" w:lineRule="exact"/>
        <w:ind w:firstLine="600"/>
        <w:rPr>
          <w:rFonts w:eastAsia="方正仿宋_GBK"/>
          <w:sz w:val="32"/>
          <w:szCs w:val="32"/>
          <w:lang w:val="zh-CN"/>
        </w:rPr>
      </w:pPr>
      <w:r>
        <w:rPr>
          <w:rFonts w:eastAsia="方正仿宋_GBK"/>
          <w:b/>
          <w:sz w:val="32"/>
          <w:szCs w:val="32"/>
          <w:lang w:val="zh-CN"/>
        </w:rPr>
        <w:t>推动经开区进出口协同发展。</w:t>
      </w:r>
      <w:r>
        <w:rPr>
          <w:rFonts w:eastAsia="方正仿宋_GBK"/>
          <w:sz w:val="32"/>
          <w:szCs w:val="32"/>
        </w:rPr>
        <w:t>扩大</w:t>
      </w:r>
      <w:r>
        <w:rPr>
          <w:rFonts w:eastAsia="方正仿宋_GBK"/>
          <w:sz w:val="32"/>
          <w:szCs w:val="32"/>
          <w:lang w:val="zh-CN"/>
        </w:rPr>
        <w:t>经开区出口</w:t>
      </w:r>
      <w:r>
        <w:rPr>
          <w:rFonts w:eastAsia="方正仿宋_GBK"/>
          <w:sz w:val="32"/>
          <w:szCs w:val="32"/>
        </w:rPr>
        <w:t>规模</w:t>
      </w:r>
      <w:r>
        <w:rPr>
          <w:rFonts w:eastAsia="方正仿宋_GBK"/>
          <w:sz w:val="32"/>
          <w:szCs w:val="32"/>
          <w:lang w:val="zh-CN"/>
        </w:rPr>
        <w:t>，通过推进重点产业链延链补链，提高最终产品供给量，丰富出口产品类型，促进出口稳步增长。引导鼓励企业优化出口产品结构和产品质量，扩大有色金属、铝制品及配件等产品出口，提高出口附加值。创新出口货物专利纠纷担保放行方式，支持第三方机构为企业提供服务。扩大先进技术、核心设备和关键零部件进口，增加高质量消费品进口，促进进口来源多元化。</w:t>
      </w:r>
    </w:p>
    <w:p w14:paraId="3C520FA0">
      <w:pPr>
        <w:spacing w:line="600" w:lineRule="exact"/>
        <w:ind w:firstLine="600"/>
        <w:rPr>
          <w:rFonts w:eastAsia="方正仿宋_GBK"/>
          <w:sz w:val="32"/>
          <w:szCs w:val="32"/>
          <w:lang w:val="zh-CN"/>
        </w:rPr>
      </w:pPr>
      <w:r>
        <w:rPr>
          <w:rFonts w:eastAsia="方正仿宋_GBK"/>
          <w:b/>
          <w:sz w:val="32"/>
          <w:szCs w:val="32"/>
          <w:lang w:val="zh-CN"/>
        </w:rPr>
        <w:t>提高贸易便利化水平。</w:t>
      </w:r>
      <w:r>
        <w:rPr>
          <w:rFonts w:hint="eastAsia" w:eastAsia="方正仿宋_GBK"/>
          <w:sz w:val="32"/>
          <w:szCs w:val="32"/>
          <w:lang w:val="zh-CN"/>
        </w:rPr>
        <w:t>融入西部陆海新通道建设，打通经开区至防城港、河口、瑞丽、重庆以及昆明的通道。</w:t>
      </w:r>
      <w:r>
        <w:rPr>
          <w:rFonts w:eastAsia="方正仿宋_GBK"/>
          <w:sz w:val="32"/>
          <w:szCs w:val="32"/>
          <w:lang w:val="zh-CN"/>
        </w:rPr>
        <w:t>充分发挥曲靖海关功能，积极参与中国（云南）国际贸易“单一窗口”建设，为申报人提供进出口货物申报、运输工具申报、税费支付申报、贸易许可申报和原产地证书申领等全流程电子化服务，对包括绿色硅光伏、新能源电池等产业在内的重点企业进行出口扶持。</w:t>
      </w:r>
      <w:bookmarkStart w:id="167" w:name="_Toc17716"/>
      <w:bookmarkStart w:id="168" w:name="_Toc76716293"/>
      <w:bookmarkStart w:id="169" w:name="_Toc2822"/>
      <w:bookmarkStart w:id="170" w:name="_Toc18252"/>
      <w:bookmarkStart w:id="171" w:name="_Toc12617"/>
    </w:p>
    <w:p w14:paraId="53E75DBB">
      <w:pPr>
        <w:ind w:firstLine="640" w:firstLineChars="200"/>
        <w:rPr>
          <w:rFonts w:ascii="方正楷体_GBK" w:eastAsia="方正楷体_GBK"/>
          <w:b/>
          <w:sz w:val="32"/>
          <w:szCs w:val="32"/>
        </w:rPr>
      </w:pPr>
      <w:bookmarkStart w:id="172" w:name="_Toc81570112"/>
      <w:bookmarkStart w:id="173" w:name="_Toc81570016"/>
      <w:r>
        <w:rPr>
          <w:rFonts w:ascii="方正楷体_GBK" w:eastAsia="方正楷体_GBK"/>
          <w:b/>
          <w:sz w:val="32"/>
          <w:szCs w:val="32"/>
        </w:rPr>
        <w:t>第三节  提高国际双向投资水平</w:t>
      </w:r>
      <w:bookmarkEnd w:id="167"/>
      <w:bookmarkEnd w:id="168"/>
      <w:bookmarkEnd w:id="169"/>
      <w:bookmarkEnd w:id="170"/>
      <w:bookmarkEnd w:id="171"/>
      <w:bookmarkEnd w:id="172"/>
      <w:bookmarkEnd w:id="173"/>
    </w:p>
    <w:p w14:paraId="284182CF">
      <w:pPr>
        <w:spacing w:line="600" w:lineRule="exact"/>
        <w:ind w:firstLine="600"/>
        <w:rPr>
          <w:rFonts w:eastAsia="方正仿宋_GBK"/>
          <w:sz w:val="32"/>
          <w:szCs w:val="32"/>
          <w:lang w:val="zh-CN"/>
        </w:rPr>
      </w:pPr>
      <w:r>
        <w:rPr>
          <w:rFonts w:eastAsia="方正仿宋_GBK"/>
          <w:b/>
          <w:sz w:val="32"/>
          <w:szCs w:val="32"/>
        </w:rPr>
        <w:t>提高利用外资质量</w:t>
      </w:r>
      <w:r>
        <w:rPr>
          <w:rFonts w:eastAsia="方正仿宋_GBK"/>
          <w:b/>
          <w:sz w:val="32"/>
          <w:szCs w:val="32"/>
          <w:lang w:val="zh-CN"/>
        </w:rPr>
        <w:t>。</w:t>
      </w:r>
      <w:r>
        <w:rPr>
          <w:rFonts w:eastAsia="方正仿宋_GBK"/>
          <w:sz w:val="32"/>
          <w:szCs w:val="32"/>
          <w:lang w:val="zh-CN"/>
        </w:rPr>
        <w:t>利用区位优势，拓展引资来源，主动融入</w:t>
      </w:r>
      <w:r>
        <w:rPr>
          <w:rFonts w:eastAsia="方正仿宋_GBK"/>
          <w:sz w:val="32"/>
          <w:szCs w:val="32"/>
        </w:rPr>
        <w:t>“一带一路”等</w:t>
      </w:r>
      <w:r>
        <w:rPr>
          <w:rFonts w:eastAsia="方正仿宋_GBK"/>
          <w:sz w:val="32"/>
          <w:szCs w:val="32"/>
          <w:lang w:val="zh-CN"/>
        </w:rPr>
        <w:t>国家对外开放战略，加强与东盟</w:t>
      </w:r>
      <w:r>
        <w:rPr>
          <w:rFonts w:eastAsia="方正仿宋_GBK"/>
          <w:sz w:val="32"/>
          <w:szCs w:val="32"/>
        </w:rPr>
        <w:t>等新兴市场的合作</w:t>
      </w:r>
      <w:r>
        <w:rPr>
          <w:rFonts w:eastAsia="方正仿宋_GBK"/>
          <w:sz w:val="32"/>
          <w:szCs w:val="32"/>
          <w:lang w:val="zh-CN"/>
        </w:rPr>
        <w:t>，定期开展中国—东盟投资促进推介会，提高招商引资水平。优化利用外资领域，支持外资参与主导产业集群，鼓励外资在</w:t>
      </w:r>
      <w:r>
        <w:rPr>
          <w:rFonts w:eastAsia="方正仿宋_GBK"/>
          <w:sz w:val="32"/>
          <w:szCs w:val="32"/>
        </w:rPr>
        <w:t>经开</w:t>
      </w:r>
      <w:r>
        <w:rPr>
          <w:rFonts w:eastAsia="方正仿宋_GBK"/>
          <w:sz w:val="32"/>
          <w:szCs w:val="32"/>
          <w:lang w:val="zh-CN"/>
        </w:rPr>
        <w:t>区设立区域总部、研发中心等功能性机构，引导外资投入高端制造、高新技术、传统制造转型升级、服务业等领域。提高招商引资水平，围绕绿色硅光伏、新能源电池等主导产业链条实施精准招商，制定产业招商目录，招引带动能力强的项目。完善招引外资服务体制，延伸海外招商触角，探索海外项目孵化实现路径，为外资企业以及创业团队落户经开区提供专业服务，加强外商投资保护。提高投资监管和服务水平，推行“极简审批”投资制度，健全外商投资准入前国民待遇加负面清单管理制度，营造内外资公平竞争的市场环境。</w:t>
      </w:r>
    </w:p>
    <w:p w14:paraId="213176C7">
      <w:pPr>
        <w:spacing w:line="600" w:lineRule="exact"/>
        <w:ind w:firstLine="600"/>
        <w:rPr>
          <w:rFonts w:eastAsia="方正仿宋_GBK"/>
          <w:sz w:val="32"/>
          <w:szCs w:val="32"/>
          <w:lang w:val="zh-CN"/>
        </w:rPr>
      </w:pPr>
      <w:r>
        <w:rPr>
          <w:rFonts w:eastAsia="方正仿宋_GBK"/>
          <w:b/>
          <w:sz w:val="32"/>
          <w:szCs w:val="32"/>
          <w:lang w:val="zh-CN"/>
        </w:rPr>
        <w:t>提升对外投资水平。</w:t>
      </w:r>
      <w:r>
        <w:rPr>
          <w:rFonts w:eastAsia="方正仿宋_GBK"/>
          <w:sz w:val="32"/>
          <w:szCs w:val="32"/>
        </w:rPr>
        <w:t>支持区内企业参与全球产业链供应链重塑，促进产业协同，引导对外投资合作平稳有序发展，推动重点产品、服务、技术、品牌、标准走出去。支持经开区与境外经贸合作区、边境合作区等联动发展。</w:t>
      </w:r>
      <w:r>
        <w:rPr>
          <w:rFonts w:eastAsia="方正仿宋_GBK"/>
          <w:sz w:val="32"/>
          <w:szCs w:val="32"/>
          <w:lang w:val="zh-CN"/>
        </w:rPr>
        <w:t>建立健全“走出去”信息服务网络，以东盟国家项目投资推介为主体，对接企业“走出去”、兼并收购等项目信息以及有关投资政策法规等，为企业提供高质量的信息咨询服务，实现优势技术的沟通交流，提升</w:t>
      </w:r>
      <w:r>
        <w:rPr>
          <w:rFonts w:eastAsia="方正仿宋_GBK"/>
          <w:sz w:val="32"/>
          <w:szCs w:val="32"/>
        </w:rPr>
        <w:t>经济开放度</w:t>
      </w:r>
      <w:r>
        <w:rPr>
          <w:rFonts w:eastAsia="方正仿宋_GBK"/>
          <w:sz w:val="32"/>
          <w:szCs w:val="32"/>
          <w:lang w:val="zh-CN"/>
        </w:rPr>
        <w:t>。</w:t>
      </w:r>
    </w:p>
    <w:p w14:paraId="7A300604">
      <w:pPr>
        <w:ind w:firstLine="640" w:firstLineChars="200"/>
        <w:rPr>
          <w:rFonts w:ascii="方正楷体_GBK" w:eastAsia="方正楷体_GBK"/>
          <w:b/>
          <w:sz w:val="32"/>
          <w:szCs w:val="32"/>
        </w:rPr>
      </w:pPr>
      <w:bookmarkStart w:id="174" w:name="_Toc81570113"/>
      <w:bookmarkStart w:id="175" w:name="_Toc13028"/>
      <w:bookmarkStart w:id="176" w:name="_Toc18363"/>
      <w:bookmarkStart w:id="177" w:name="_Toc8752"/>
      <w:bookmarkStart w:id="178" w:name="_Toc13908"/>
      <w:bookmarkStart w:id="179" w:name="_Toc76716294"/>
      <w:bookmarkStart w:id="180" w:name="_Toc81570017"/>
      <w:r>
        <w:rPr>
          <w:rFonts w:hint="eastAsia" w:ascii="方正楷体_GBK" w:eastAsia="方正楷体_GBK"/>
          <w:b/>
          <w:sz w:val="32"/>
          <w:szCs w:val="32"/>
        </w:rPr>
        <w:t>第四节  打造对外开放平台载体</w:t>
      </w:r>
      <w:bookmarkEnd w:id="174"/>
      <w:bookmarkEnd w:id="175"/>
      <w:bookmarkEnd w:id="176"/>
      <w:bookmarkEnd w:id="177"/>
      <w:bookmarkEnd w:id="178"/>
      <w:bookmarkEnd w:id="179"/>
      <w:bookmarkEnd w:id="180"/>
    </w:p>
    <w:p w14:paraId="511DBD7E">
      <w:pPr>
        <w:spacing w:line="600" w:lineRule="exact"/>
        <w:ind w:firstLine="601"/>
        <w:rPr>
          <w:rFonts w:eastAsia="方正仿宋_GBK"/>
          <w:sz w:val="32"/>
          <w:szCs w:val="32"/>
          <w:lang w:val="zh-CN"/>
        </w:rPr>
      </w:pPr>
      <w:r>
        <w:rPr>
          <w:rFonts w:eastAsia="方正仿宋_GBK"/>
          <w:b/>
          <w:sz w:val="32"/>
          <w:szCs w:val="32"/>
          <w:lang w:val="zh-CN"/>
        </w:rPr>
        <w:t>主动融入云南自贸试验区联动创新区高质量建设。</w:t>
      </w:r>
      <w:r>
        <w:rPr>
          <w:rFonts w:eastAsia="方正仿宋_GBK"/>
          <w:sz w:val="32"/>
          <w:szCs w:val="32"/>
          <w:lang w:val="zh-CN"/>
        </w:rPr>
        <w:t>复制推广自贸试验区建设经验，推动自贸试验区与经开区的联动创新发展。依托优势产业，实现经开区与</w:t>
      </w:r>
      <w:r>
        <w:rPr>
          <w:rFonts w:eastAsia="方正仿宋_GBK"/>
          <w:sz w:val="32"/>
          <w:szCs w:val="32"/>
        </w:rPr>
        <w:t>其他联动创新区的差异化、特色化发展。</w:t>
      </w:r>
      <w:r>
        <w:rPr>
          <w:rFonts w:eastAsia="方正仿宋_GBK"/>
          <w:sz w:val="32"/>
          <w:szCs w:val="32"/>
          <w:lang w:val="zh-CN"/>
        </w:rPr>
        <w:t>重点探索</w:t>
      </w:r>
      <w:r>
        <w:rPr>
          <w:rFonts w:eastAsia="方正仿宋_GBK"/>
          <w:sz w:val="32"/>
          <w:szCs w:val="32"/>
        </w:rPr>
        <w:t>绿色硅光伏</w:t>
      </w:r>
      <w:r>
        <w:rPr>
          <w:rFonts w:eastAsia="方正仿宋_GBK"/>
          <w:sz w:val="32"/>
          <w:szCs w:val="32"/>
          <w:lang w:val="zh-CN"/>
        </w:rPr>
        <w:t>、新能源电池、数字经济全产业链投资便利化和贸易自由化方面的创新举措，推动经开区成为高能级开放平台。</w:t>
      </w:r>
    </w:p>
    <w:p w14:paraId="641E1215">
      <w:pPr>
        <w:spacing w:line="600" w:lineRule="exact"/>
        <w:ind w:firstLine="600"/>
        <w:rPr>
          <w:rFonts w:eastAsia="方正仿宋_GBK"/>
          <w:sz w:val="32"/>
          <w:szCs w:val="32"/>
        </w:rPr>
      </w:pPr>
      <w:r>
        <w:rPr>
          <w:rFonts w:eastAsia="方正仿宋_GBK"/>
          <w:b/>
          <w:sz w:val="32"/>
          <w:szCs w:val="32"/>
        </w:rPr>
        <w:t>完善</w:t>
      </w:r>
      <w:r>
        <w:rPr>
          <w:rFonts w:eastAsia="方正仿宋_GBK"/>
          <w:b/>
          <w:sz w:val="32"/>
          <w:szCs w:val="32"/>
          <w:lang w:val="zh-CN"/>
        </w:rPr>
        <w:t>经贸合作平台。</w:t>
      </w:r>
      <w:r>
        <w:rPr>
          <w:rFonts w:eastAsia="方正仿宋_GBK"/>
          <w:sz w:val="32"/>
          <w:szCs w:val="32"/>
          <w:lang w:val="zh-CN"/>
        </w:rPr>
        <w:t>紧抓RCEP机遇，融入中南半岛经济走廊建设，申建进出口商品展示交易中心，打造面向东盟、“一带一路”</w:t>
      </w:r>
      <w:r>
        <w:rPr>
          <w:rFonts w:eastAsia="方正仿宋_GBK"/>
          <w:sz w:val="32"/>
          <w:szCs w:val="32"/>
        </w:rPr>
        <w:t>沿线</w:t>
      </w:r>
      <w:r>
        <w:rPr>
          <w:rFonts w:eastAsia="方正仿宋_GBK"/>
          <w:sz w:val="32"/>
          <w:szCs w:val="32"/>
          <w:lang w:val="zh-CN"/>
        </w:rPr>
        <w:t>国家乃至全球的商品贸易平台，提升</w:t>
      </w:r>
      <w:r>
        <w:rPr>
          <w:rFonts w:eastAsia="方正仿宋_GBK"/>
          <w:sz w:val="32"/>
          <w:szCs w:val="32"/>
        </w:rPr>
        <w:t>经开区</w:t>
      </w:r>
      <w:r>
        <w:rPr>
          <w:rFonts w:eastAsia="方正仿宋_GBK"/>
          <w:sz w:val="32"/>
          <w:szCs w:val="32"/>
          <w:lang w:val="zh-CN"/>
        </w:rPr>
        <w:t>产品的国际</w:t>
      </w:r>
      <w:r>
        <w:rPr>
          <w:rFonts w:eastAsia="方正仿宋_GBK"/>
          <w:sz w:val="32"/>
          <w:szCs w:val="32"/>
        </w:rPr>
        <w:t>竞争</w:t>
      </w:r>
      <w:r>
        <w:rPr>
          <w:rFonts w:eastAsia="方正仿宋_GBK"/>
          <w:sz w:val="32"/>
          <w:szCs w:val="32"/>
          <w:lang w:val="zh-CN"/>
        </w:rPr>
        <w:t>力，开拓国际市场，促进国际</w:t>
      </w:r>
      <w:r>
        <w:rPr>
          <w:rFonts w:eastAsia="方正仿宋_GBK"/>
          <w:sz w:val="32"/>
          <w:szCs w:val="32"/>
        </w:rPr>
        <w:t>贸易高质量发展</w:t>
      </w:r>
      <w:r>
        <w:rPr>
          <w:rFonts w:eastAsia="方正仿宋_GBK"/>
          <w:sz w:val="32"/>
          <w:szCs w:val="32"/>
          <w:lang w:val="zh-CN"/>
        </w:rPr>
        <w:t>。申建综合保税区，促进外贸企业发展，推动外贸转型升级，保障外贸产业链供应链畅通运转。</w:t>
      </w:r>
      <w:r>
        <w:rPr>
          <w:rFonts w:eastAsia="方正仿宋_GBK"/>
          <w:sz w:val="32"/>
          <w:szCs w:val="32"/>
        </w:rPr>
        <w:t>探索建立国际合作园区，以园中园形式加强经开区与东盟等重点区域的经贸合作。</w:t>
      </w:r>
    </w:p>
    <w:p w14:paraId="3A9B0C73">
      <w:pPr>
        <w:pStyle w:val="3"/>
        <w:widowControl/>
        <w:spacing w:beforeLines="100" w:afterLines="100" w:line="600" w:lineRule="atLeast"/>
        <w:rPr>
          <w:rFonts w:eastAsia="方正黑体_GBK"/>
          <w:szCs w:val="32"/>
          <w:lang w:val="en-US"/>
        </w:rPr>
      </w:pPr>
      <w:r>
        <w:rPr>
          <w:color w:val="000000"/>
          <w:kern w:val="0"/>
          <w:szCs w:val="32"/>
        </w:rPr>
        <w:br w:type="page"/>
      </w:r>
      <w:bookmarkStart w:id="181" w:name="_Toc28569"/>
      <w:bookmarkStart w:id="182" w:name="_Toc81570018"/>
      <w:bookmarkStart w:id="183" w:name="_Toc32402"/>
      <w:bookmarkStart w:id="184" w:name="_Toc76716295"/>
      <w:bookmarkStart w:id="185" w:name="_Toc8209"/>
      <w:bookmarkStart w:id="186" w:name="_Toc81570114"/>
      <w:bookmarkStart w:id="187" w:name="_Toc4108"/>
      <w:r>
        <w:rPr>
          <w:rFonts w:eastAsia="方正黑体_GBK"/>
          <w:szCs w:val="32"/>
          <w:lang w:val="en-US"/>
        </w:rPr>
        <w:t>第八章  推进绿色转型集约发展</w:t>
      </w:r>
      <w:bookmarkEnd w:id="181"/>
      <w:bookmarkEnd w:id="182"/>
      <w:bookmarkEnd w:id="183"/>
      <w:bookmarkEnd w:id="184"/>
      <w:bookmarkEnd w:id="185"/>
      <w:bookmarkEnd w:id="186"/>
      <w:bookmarkEnd w:id="187"/>
    </w:p>
    <w:p w14:paraId="6E98537E">
      <w:pPr>
        <w:spacing w:line="600" w:lineRule="exact"/>
        <w:ind w:firstLine="640" w:firstLineChars="200"/>
        <w:rPr>
          <w:rFonts w:eastAsia="方正仿宋_GBK"/>
          <w:sz w:val="32"/>
          <w:szCs w:val="32"/>
          <w:lang w:val="zh-CN"/>
        </w:rPr>
      </w:pPr>
      <w:r>
        <w:rPr>
          <w:rFonts w:eastAsia="方正仿宋_GBK"/>
          <w:sz w:val="32"/>
          <w:szCs w:val="32"/>
          <w:lang w:val="zh-CN"/>
        </w:rPr>
        <w:t>坚持“绿水青山就是金山银山”的发展理念，尊重自然、顺应自然、保护自然，坚持节约优先、保护优先、自然恢复为主，守住自然生态安全边界，加快建设国家级生态工业示范园、全省绿色能源和绿色先进制造业深度融合发展示范区。</w:t>
      </w:r>
    </w:p>
    <w:p w14:paraId="1E46558C">
      <w:pPr>
        <w:spacing w:line="600" w:lineRule="exact"/>
        <w:ind w:firstLine="640" w:firstLineChars="200"/>
        <w:rPr>
          <w:rFonts w:ascii="方正楷体_GBK" w:eastAsia="方正楷体_GBK"/>
          <w:b/>
          <w:sz w:val="32"/>
          <w:szCs w:val="32"/>
        </w:rPr>
      </w:pPr>
      <w:bookmarkStart w:id="188" w:name="_Toc76716296"/>
      <w:bookmarkStart w:id="189" w:name="_Toc20498"/>
      <w:bookmarkStart w:id="190" w:name="_Toc26752"/>
      <w:bookmarkStart w:id="191" w:name="_Toc81570019"/>
      <w:bookmarkStart w:id="192" w:name="_Toc11312"/>
      <w:bookmarkStart w:id="193" w:name="_Toc81570115"/>
      <w:bookmarkStart w:id="194" w:name="_Toc12655"/>
      <w:bookmarkStart w:id="195" w:name="_Toc68592870"/>
      <w:r>
        <w:rPr>
          <w:rFonts w:hint="eastAsia" w:ascii="方正楷体_GBK" w:eastAsia="方正楷体_GBK"/>
          <w:b/>
          <w:sz w:val="32"/>
          <w:szCs w:val="32"/>
        </w:rPr>
        <w:t>第一节  推动绿色低碳发展</w:t>
      </w:r>
      <w:bookmarkEnd w:id="188"/>
      <w:bookmarkEnd w:id="189"/>
      <w:bookmarkEnd w:id="190"/>
      <w:bookmarkEnd w:id="191"/>
      <w:bookmarkEnd w:id="192"/>
      <w:bookmarkEnd w:id="193"/>
      <w:bookmarkEnd w:id="194"/>
    </w:p>
    <w:p w14:paraId="4EBA2AC5">
      <w:pPr>
        <w:spacing w:line="600" w:lineRule="exact"/>
        <w:ind w:firstLine="640" w:firstLineChars="200"/>
        <w:rPr>
          <w:rFonts w:eastAsia="方正仿宋_GBK"/>
          <w:sz w:val="32"/>
          <w:szCs w:val="32"/>
          <w:lang w:val="zh-CN"/>
        </w:rPr>
      </w:pPr>
      <w:r>
        <w:rPr>
          <w:rFonts w:eastAsia="方正仿宋_GBK"/>
          <w:b/>
          <w:sz w:val="32"/>
          <w:szCs w:val="32"/>
          <w:lang w:val="zh-CN"/>
        </w:rPr>
        <w:t>推进资源节约利用。</w:t>
      </w:r>
      <w:r>
        <w:rPr>
          <w:rFonts w:eastAsia="方正仿宋_GBK"/>
          <w:sz w:val="32"/>
          <w:szCs w:val="32"/>
          <w:lang w:val="zh-CN"/>
        </w:rPr>
        <w:t>推动重点生产领域和关键环节的资源节约利用，推广绿色生产工艺与循环生产方式，重点实施绿色硅光伏企业节水回用项目，提高水资源利用效率。在整个生产全流程开展土地、水等资源的合理利用。引导企业减少生产过程中的资源消耗和环境污染，重点加强高耗能企业的节能降耗管理，实施企业就地改造项目，督促企业开展能源审计，建立节能责任制，完善节能管理制度。对矿产资源实行节约使用、清洁开发、高效生产和生态恢复，延长生态产业链，提升矿山废弃物处理处置和资源化利用水平，提高资源的利用效益。</w:t>
      </w:r>
    </w:p>
    <w:p w14:paraId="2E2B7644">
      <w:pPr>
        <w:spacing w:line="600" w:lineRule="exact"/>
        <w:ind w:firstLine="640" w:firstLineChars="200"/>
        <w:rPr>
          <w:rFonts w:eastAsia="方正仿宋_GBK"/>
          <w:b/>
          <w:sz w:val="32"/>
          <w:szCs w:val="32"/>
          <w:lang w:val="zh-CN"/>
        </w:rPr>
      </w:pPr>
      <w:r>
        <w:rPr>
          <w:rFonts w:eastAsia="方正仿宋_GBK"/>
          <w:b/>
          <w:sz w:val="32"/>
          <w:szCs w:val="32"/>
          <w:lang w:val="zh-CN"/>
        </w:rPr>
        <w:t>构建绿色产业体系。</w:t>
      </w:r>
      <w:r>
        <w:rPr>
          <w:rFonts w:eastAsia="方正仿宋_GBK"/>
          <w:sz w:val="32"/>
          <w:szCs w:val="32"/>
          <w:lang w:val="zh-CN"/>
        </w:rPr>
        <w:t>加快发展绿色低碳产业，严格控制高污染、高耗能、高排放企业入驻。推动重点行业绿色转型，围绕绿色硅光伏、新能源电池、有色金属、装备制造等产业，加强绿色技术供给，完善循环产业体系，促进绿色低碳循环发展。调整产业结构，大力发展生产性服务业，促进生活性服务业提升，推进经开区产业转型升级。强化管理评价体系引领，建立固体废弃物循环利用环境管理体系，把节能减排与循环经济发展纳入经济社会发展综合评价指标体系，转变经济发展方式，推进园区循环式发展改造。</w:t>
      </w:r>
    </w:p>
    <w:p w14:paraId="391AF444">
      <w:pPr>
        <w:spacing w:line="600" w:lineRule="exact"/>
        <w:ind w:firstLine="640" w:firstLineChars="200"/>
        <w:rPr>
          <w:rFonts w:eastAsia="方正仿宋_GBK"/>
          <w:sz w:val="32"/>
          <w:szCs w:val="32"/>
          <w:lang w:val="zh-CN"/>
        </w:rPr>
      </w:pPr>
      <w:r>
        <w:rPr>
          <w:rFonts w:eastAsia="方正仿宋_GBK"/>
          <w:b/>
          <w:sz w:val="32"/>
          <w:szCs w:val="32"/>
          <w:lang w:val="zh-CN"/>
        </w:rPr>
        <w:t>推进碳排放削减和碳汇增加。</w:t>
      </w:r>
      <w:r>
        <w:rPr>
          <w:rFonts w:eastAsia="方正仿宋_GBK"/>
          <w:sz w:val="32"/>
          <w:szCs w:val="32"/>
          <w:lang w:val="zh-CN"/>
        </w:rPr>
        <w:t>制定经开区碳达峰、碳中和行动目标及方案，以推进建设一批“近零碳排放工厂”为抓手，降低碳排放强度。优化产业、能源、交通运输结构，全面推行清洁化生产。实施烟煤替代，提升电能在终端用能比例，推动重点行业节能低碳改造，进一步降低煤炭消费比重，提高企业能源利用效率。加强绿色供应链管理，调整优化货物运输结构，推动大宗货物“公转铁”，增加集装箱多式联运比重。采取一切有效措施，控制温室气体排放，增加森林和生态系统碳汇。</w:t>
      </w:r>
    </w:p>
    <w:p w14:paraId="4EBFF4B1">
      <w:pPr>
        <w:spacing w:line="600" w:lineRule="exact"/>
        <w:ind w:firstLine="640" w:firstLineChars="200"/>
        <w:rPr>
          <w:rFonts w:ascii="方正楷体_GBK" w:eastAsia="方正楷体_GBK"/>
          <w:b/>
          <w:sz w:val="32"/>
          <w:szCs w:val="32"/>
        </w:rPr>
      </w:pPr>
      <w:bookmarkStart w:id="196" w:name="_Toc24100"/>
      <w:bookmarkStart w:id="197" w:name="_Toc81570020"/>
      <w:bookmarkStart w:id="198" w:name="_Toc1872"/>
      <w:bookmarkStart w:id="199" w:name="_Toc15699"/>
      <w:bookmarkStart w:id="200" w:name="_Toc14440"/>
      <w:bookmarkStart w:id="201" w:name="_Toc76716297"/>
      <w:bookmarkStart w:id="202" w:name="_Toc81570116"/>
      <w:r>
        <w:rPr>
          <w:rFonts w:ascii="方正楷体_GBK" w:eastAsia="方正楷体_GBK"/>
          <w:b/>
          <w:sz w:val="32"/>
          <w:szCs w:val="32"/>
        </w:rPr>
        <w:t>第二节  严管生态环境空间</w:t>
      </w:r>
      <w:bookmarkEnd w:id="196"/>
      <w:bookmarkEnd w:id="197"/>
      <w:bookmarkEnd w:id="198"/>
      <w:bookmarkEnd w:id="199"/>
      <w:bookmarkEnd w:id="200"/>
      <w:bookmarkEnd w:id="201"/>
      <w:bookmarkEnd w:id="202"/>
    </w:p>
    <w:bookmarkEnd w:id="195"/>
    <w:p w14:paraId="08A1DE3C">
      <w:pPr>
        <w:spacing w:line="600" w:lineRule="exact"/>
        <w:ind w:firstLine="640" w:firstLineChars="200"/>
        <w:rPr>
          <w:rFonts w:eastAsia="方正仿宋_GBK"/>
          <w:sz w:val="32"/>
          <w:szCs w:val="32"/>
          <w:lang w:val="zh-CN"/>
        </w:rPr>
      </w:pPr>
      <w:r>
        <w:rPr>
          <w:rFonts w:eastAsia="方正仿宋_GBK"/>
          <w:b/>
          <w:sz w:val="32"/>
          <w:szCs w:val="32"/>
          <w:lang w:val="zh-CN"/>
        </w:rPr>
        <w:t>加强生态空间管控。</w:t>
      </w:r>
      <w:r>
        <w:rPr>
          <w:rFonts w:eastAsia="方正仿宋_GBK"/>
          <w:sz w:val="32"/>
          <w:szCs w:val="32"/>
          <w:lang w:val="zh-CN"/>
        </w:rPr>
        <w:t>因地制宜开展国土空间规划，建立健全以国土空间规划为基础，完善新时期国土空间体系。明确经开区生态安全空间格局，依据《云南省生态保护红线》，针对不同的生态保护红线区进行不同措施的管控。以保护和修复生态环境、提供生态产品为首要任务，加强经开区内生态环保带的资源环境承载力控制。禁止不符合经开区规划要求的项目入驻西城片区和南海子片区，推动经开区企业实现“雨污分流，清污分流”，建成污水集中处理设施并确保稳定运行，强化企业环节风险防范设施设备建设和运行监管。完善农业面源污染重点管控单元，围绕环境质量改善目标，加强农业农村污染防治。</w:t>
      </w:r>
    </w:p>
    <w:p w14:paraId="036C85B3">
      <w:pPr>
        <w:spacing w:line="600" w:lineRule="exact"/>
        <w:ind w:firstLine="640" w:firstLineChars="200"/>
        <w:rPr>
          <w:rFonts w:eastAsia="方正仿宋_GBK"/>
          <w:sz w:val="32"/>
          <w:szCs w:val="32"/>
          <w:lang w:val="zh-CN"/>
        </w:rPr>
      </w:pPr>
      <w:r>
        <w:rPr>
          <w:rFonts w:eastAsia="方正仿宋_GBK"/>
          <w:b/>
          <w:sz w:val="32"/>
          <w:szCs w:val="32"/>
          <w:lang w:val="zh-CN"/>
        </w:rPr>
        <w:t>加强环境功能区管控。</w:t>
      </w:r>
      <w:r>
        <w:rPr>
          <w:rFonts w:eastAsia="方正仿宋_GBK"/>
          <w:sz w:val="32"/>
          <w:szCs w:val="32"/>
          <w:lang w:val="zh-CN"/>
        </w:rPr>
        <w:t>对于自然生态保留区，依法管理强制保护，维护生态系统结构和功能的完整。针对生态功能保育区，遵从生态优先、适度发展的原则，严格控制污染物排放总量，严守生态红线，严禁盲目引入外来物种，严禁不适合主体环境功能定位的项目进入等。对于食物环境安全保障区，遵从保障基本、安全发展的原则，严格控制重金属类污染物和挥发性有机物等有毒物质排放。建立农业主产区环境质量检测网络，建立并实行严格的土壤环境保护制度，加强面源污染门控制。对于聚居环境维护区，遵从严控污染、优化发展的原则，加强环境综合治理。</w:t>
      </w:r>
    </w:p>
    <w:p w14:paraId="19259805">
      <w:pPr>
        <w:spacing w:line="600" w:lineRule="exact"/>
        <w:ind w:firstLine="640" w:firstLineChars="200"/>
        <w:rPr>
          <w:rFonts w:ascii="方正楷体_GBK" w:eastAsia="方正楷体_GBK"/>
          <w:b/>
          <w:sz w:val="32"/>
          <w:szCs w:val="32"/>
        </w:rPr>
      </w:pPr>
      <w:bookmarkStart w:id="203" w:name="_Toc31868"/>
      <w:bookmarkStart w:id="204" w:name="_Toc2988"/>
      <w:bookmarkStart w:id="205" w:name="_Toc81570117"/>
      <w:bookmarkStart w:id="206" w:name="_Toc76716298"/>
      <w:bookmarkStart w:id="207" w:name="_Toc5739"/>
      <w:bookmarkStart w:id="208" w:name="_Toc15668"/>
      <w:bookmarkStart w:id="209" w:name="_Toc81570021"/>
      <w:bookmarkStart w:id="210" w:name="_Toc68592871"/>
      <w:r>
        <w:rPr>
          <w:rFonts w:ascii="方正楷体_GBK" w:eastAsia="方正楷体_GBK"/>
          <w:b/>
          <w:sz w:val="32"/>
          <w:szCs w:val="32"/>
        </w:rPr>
        <w:t>第三节  持续改善环境质量</w:t>
      </w:r>
      <w:bookmarkEnd w:id="203"/>
      <w:bookmarkEnd w:id="204"/>
      <w:bookmarkEnd w:id="205"/>
      <w:bookmarkEnd w:id="206"/>
      <w:bookmarkEnd w:id="207"/>
      <w:bookmarkEnd w:id="208"/>
      <w:bookmarkEnd w:id="209"/>
    </w:p>
    <w:bookmarkEnd w:id="210"/>
    <w:p w14:paraId="5D4DC120">
      <w:pPr>
        <w:spacing w:line="600" w:lineRule="exact"/>
        <w:ind w:firstLine="640" w:firstLineChars="200"/>
        <w:rPr>
          <w:rFonts w:eastAsia="方正仿宋_GBK"/>
          <w:sz w:val="32"/>
          <w:szCs w:val="32"/>
          <w:lang w:val="zh-CN"/>
        </w:rPr>
      </w:pPr>
      <w:r>
        <w:rPr>
          <w:rFonts w:eastAsia="方正仿宋_GBK"/>
          <w:b/>
          <w:sz w:val="32"/>
          <w:szCs w:val="32"/>
          <w:lang w:val="zh-CN"/>
        </w:rPr>
        <w:t>坚持生态优先绿色发展战略。</w:t>
      </w:r>
      <w:r>
        <w:rPr>
          <w:rFonts w:eastAsia="方正仿宋_GBK"/>
          <w:sz w:val="32"/>
          <w:szCs w:val="32"/>
          <w:lang w:val="zh-CN"/>
        </w:rPr>
        <w:t>坚持生态优先，服务全省筑牢西南生态安全屏障战略，强化白石江沿线生态治理、深化跨部门跨地区协调合作机制，重点聚焦保护生物多样性、提升水源涵养功能、矿山修复等领域。完善生态产品实现机制，</w:t>
      </w:r>
      <w:r>
        <w:rPr>
          <w:rFonts w:hint="eastAsia" w:eastAsia="方正仿宋_GBK"/>
          <w:sz w:val="32"/>
          <w:szCs w:val="32"/>
          <w:lang w:val="zh-CN"/>
        </w:rPr>
        <w:t>形成</w:t>
      </w:r>
      <w:r>
        <w:rPr>
          <w:rFonts w:eastAsia="方正仿宋_GBK"/>
          <w:sz w:val="32"/>
          <w:szCs w:val="32"/>
          <w:lang w:val="zh-CN"/>
        </w:rPr>
        <w:t>绿色生产生活方式，加快传统制造业绿色化改造提升步伐，构建先进绿色制造、服务和技术创新体系。坚持底线约束，立足资源环境承载能力，严格在“三区三线”约束下开展国土空间开发保护建设，控制国土空间开发强度，有效盘活存量用地，提高土地利用效率，降低经济增长能耗。落实环境保护责任，完善园区环境风险防范体系建设。</w:t>
      </w:r>
    </w:p>
    <w:p w14:paraId="5D61C7CC">
      <w:pPr>
        <w:spacing w:line="600" w:lineRule="exact"/>
        <w:ind w:firstLine="640" w:firstLineChars="200"/>
        <w:rPr>
          <w:rFonts w:eastAsia="方正仿宋_GBK"/>
          <w:sz w:val="32"/>
          <w:szCs w:val="32"/>
          <w:lang w:val="zh-CN"/>
        </w:rPr>
      </w:pPr>
      <w:r>
        <w:rPr>
          <w:rFonts w:eastAsia="方正仿宋_GBK"/>
          <w:b/>
          <w:sz w:val="32"/>
          <w:szCs w:val="32"/>
          <w:lang w:val="zh-CN"/>
        </w:rPr>
        <w:t>深入开展污染防治行动。</w:t>
      </w:r>
      <w:r>
        <w:rPr>
          <w:rFonts w:eastAsia="方正仿宋_GBK"/>
          <w:sz w:val="32"/>
          <w:szCs w:val="32"/>
          <w:lang w:val="zh-CN"/>
        </w:rPr>
        <w:t>改善水环境质量，提高水源环境监测和应急预警监测水平，加强区域内面源污染控制，加强工业园各片区点源污染控制，加强污水收集和处理的市政基础设施规划与建设。提升环境空气质量，严控新增大气污染排放，优化工业布局及产业结构，工业企业开展清洁生产，力争达成PM2.5年均浓度控制在35微克/立方米以下。积极开展土壤污染防治，加强农用地保护与安全利用，严格建设用地风险管控，严格控制新增土壤污染，强化污染源管控。加强危险废物、医疗废物收集处理。重视新污染物治理。全面实行排污许可制。完善环境保护、节能减排等约束性指标管理。</w:t>
      </w:r>
    </w:p>
    <w:p w14:paraId="10C93E36">
      <w:pPr>
        <w:spacing w:line="600" w:lineRule="exact"/>
        <w:ind w:firstLine="640" w:firstLineChars="200"/>
        <w:rPr>
          <w:rFonts w:eastAsia="方正仿宋_GBK"/>
          <w:sz w:val="32"/>
          <w:szCs w:val="32"/>
          <w:lang w:val="zh-CN"/>
        </w:rPr>
      </w:pPr>
      <w:r>
        <w:rPr>
          <w:rFonts w:eastAsia="方正仿宋_GBK"/>
          <w:b/>
          <w:sz w:val="32"/>
          <w:szCs w:val="32"/>
          <w:lang w:val="zh-CN"/>
        </w:rPr>
        <w:t>提升固体液体废物环境风险防控和处置水平。</w:t>
      </w:r>
      <w:r>
        <w:rPr>
          <w:rFonts w:eastAsia="方正仿宋_GBK"/>
          <w:sz w:val="32"/>
          <w:szCs w:val="32"/>
          <w:lang w:val="zh-CN"/>
        </w:rPr>
        <w:t>以建设无废经开区为目标，持续强化固体废物和危险废物环境监管，推动化学物质环境风险管控。严格执行危险废物经营许可、转移等管理制度，强化全过程监管，严厉打击危险废物非法转移、倾倒等违法犯罪活动。推进危险废物综合利用和安全处置，落实重金属减排计划，进一步提升重金属污染防治水平。全面开展垃圾分类，推进城乡生活垃圾减量化、无害化、资源化处置。加大生活污水收集处理系统建设力度，建设健全经开区污水处理系统，重点推进南海子和西城污水处理厂扩建及其配套管网建设，力争十四五末实现总处理能力达30万吨/日。加强环卫基础设施建设，加大垃圾保洁、收集和清运体系建设实现城市生活垃圾日产日清。</w:t>
      </w:r>
    </w:p>
    <w:p w14:paraId="22E0E502">
      <w:pPr>
        <w:pStyle w:val="3"/>
        <w:widowControl/>
        <w:spacing w:beforeLines="100" w:afterLines="100" w:line="600" w:lineRule="exact"/>
        <w:ind w:firstLine="640" w:firstLineChars="200"/>
        <w:rPr>
          <w:rFonts w:eastAsia="方正黑体_GBK"/>
          <w:szCs w:val="32"/>
          <w:lang w:val="en-US"/>
        </w:rPr>
      </w:pPr>
      <w:bookmarkStart w:id="211" w:name="_Toc7566"/>
      <w:bookmarkStart w:id="212" w:name="_Toc10748"/>
      <w:bookmarkStart w:id="213" w:name="_Toc13438"/>
      <w:bookmarkStart w:id="214" w:name="_Toc28167"/>
      <w:bookmarkStart w:id="215" w:name="_Toc68592873"/>
      <w:r>
        <w:rPr>
          <w:color w:val="000000"/>
          <w:kern w:val="0"/>
          <w:szCs w:val="32"/>
        </w:rPr>
        <w:br w:type="page"/>
      </w:r>
      <w:bookmarkEnd w:id="211"/>
      <w:bookmarkEnd w:id="212"/>
      <w:bookmarkEnd w:id="213"/>
      <w:bookmarkEnd w:id="214"/>
      <w:bookmarkEnd w:id="215"/>
      <w:bookmarkStart w:id="216" w:name="_Toc81570118"/>
      <w:bookmarkStart w:id="217" w:name="_Toc81570022"/>
      <w:bookmarkStart w:id="218" w:name="_Toc76716299"/>
      <w:bookmarkStart w:id="219" w:name="_Toc22650"/>
      <w:bookmarkStart w:id="220" w:name="_Toc29546"/>
      <w:bookmarkStart w:id="221" w:name="_Toc29434"/>
      <w:bookmarkStart w:id="222" w:name="_Toc21487"/>
      <w:r>
        <w:rPr>
          <w:rFonts w:eastAsia="方正黑体_GBK"/>
          <w:szCs w:val="32"/>
          <w:lang w:val="en-US"/>
        </w:rPr>
        <w:t>第九章  促进产城融合全面发展</w:t>
      </w:r>
      <w:bookmarkEnd w:id="216"/>
      <w:bookmarkEnd w:id="217"/>
      <w:bookmarkEnd w:id="218"/>
      <w:bookmarkEnd w:id="219"/>
      <w:bookmarkEnd w:id="220"/>
      <w:bookmarkEnd w:id="221"/>
      <w:bookmarkEnd w:id="222"/>
    </w:p>
    <w:p w14:paraId="0B918996">
      <w:pPr>
        <w:spacing w:line="600" w:lineRule="exact"/>
        <w:ind w:firstLine="640" w:firstLineChars="200"/>
        <w:rPr>
          <w:rFonts w:eastAsia="方正仿宋_GBK"/>
          <w:sz w:val="32"/>
          <w:szCs w:val="32"/>
          <w:lang w:val="zh-CN"/>
        </w:rPr>
      </w:pPr>
      <w:r>
        <w:rPr>
          <w:rFonts w:eastAsia="方正仿宋_GBK"/>
          <w:sz w:val="32"/>
          <w:szCs w:val="32"/>
        </w:rPr>
        <w:t>加强</w:t>
      </w:r>
      <w:r>
        <w:rPr>
          <w:rFonts w:eastAsia="方正仿宋_GBK"/>
          <w:sz w:val="32"/>
          <w:szCs w:val="32"/>
          <w:lang w:val="zh-CN"/>
        </w:rPr>
        <w:t>基础设施建设，优化经开区环境，推进经开区生活配套建设，推进乡村振兴，促进城乡协同发展，提升经开区公共服务水平，推进产城融合，提高经开区居民生活水平和生活质量。</w:t>
      </w:r>
    </w:p>
    <w:p w14:paraId="486BAB7E">
      <w:pPr>
        <w:ind w:firstLine="640" w:firstLineChars="200"/>
        <w:rPr>
          <w:rFonts w:ascii="方正楷体_GBK" w:eastAsia="方正楷体_GBK"/>
          <w:b/>
          <w:sz w:val="32"/>
          <w:szCs w:val="32"/>
        </w:rPr>
      </w:pPr>
      <w:bookmarkStart w:id="223" w:name="_Toc76716300"/>
      <w:bookmarkStart w:id="224" w:name="_Toc81570023"/>
      <w:bookmarkStart w:id="225" w:name="_Toc81570119"/>
      <w:bookmarkStart w:id="226" w:name="_Toc32384"/>
      <w:bookmarkStart w:id="227" w:name="_Toc31605"/>
      <w:bookmarkStart w:id="228" w:name="_Toc25463"/>
      <w:bookmarkStart w:id="229" w:name="_Toc13604"/>
      <w:r>
        <w:rPr>
          <w:rFonts w:hint="eastAsia" w:ascii="方正楷体_GBK" w:eastAsia="方正楷体_GBK"/>
          <w:b/>
          <w:sz w:val="32"/>
          <w:szCs w:val="32"/>
        </w:rPr>
        <w:t>第一节  加强基础设施建设</w:t>
      </w:r>
      <w:bookmarkEnd w:id="223"/>
      <w:bookmarkEnd w:id="224"/>
      <w:bookmarkEnd w:id="225"/>
      <w:bookmarkEnd w:id="226"/>
      <w:bookmarkEnd w:id="227"/>
      <w:bookmarkEnd w:id="228"/>
      <w:bookmarkEnd w:id="229"/>
    </w:p>
    <w:p w14:paraId="4AED4E37">
      <w:pPr>
        <w:spacing w:line="600" w:lineRule="exact"/>
        <w:ind w:firstLine="640" w:firstLineChars="200"/>
        <w:rPr>
          <w:rFonts w:eastAsia="方正仿宋_GBK"/>
          <w:sz w:val="32"/>
          <w:szCs w:val="32"/>
          <w:lang w:val="zh-CN"/>
        </w:rPr>
      </w:pPr>
      <w:r>
        <w:rPr>
          <w:rFonts w:eastAsia="方正仿宋_GBK"/>
          <w:sz w:val="32"/>
          <w:szCs w:val="32"/>
          <w:lang w:val="zh-CN"/>
        </w:rPr>
        <w:t>按照“续建一批、开工一批、储备一批”的原则，以绿色硅光伏、新能源电池等主导产业发展和重点产业项目开展为方向，完善道路、供水、供电、污水处理等基础设施，优化产业项目发展环境。</w:t>
      </w:r>
      <w:r>
        <w:rPr>
          <w:rFonts w:eastAsia="方正仿宋_GBK"/>
          <w:b/>
          <w:sz w:val="32"/>
          <w:szCs w:val="32"/>
          <w:lang w:val="zh-CN"/>
        </w:rPr>
        <w:t>着力完善优化经开区道路路网结构。</w:t>
      </w:r>
      <w:r>
        <w:rPr>
          <w:rFonts w:eastAsia="方正仿宋_GBK"/>
          <w:sz w:val="32"/>
          <w:szCs w:val="32"/>
          <w:lang w:val="zh-CN"/>
        </w:rPr>
        <w:t>加强</w:t>
      </w:r>
      <w:r>
        <w:rPr>
          <w:rFonts w:eastAsia="方正仿宋_GBK"/>
          <w:sz w:val="32"/>
          <w:szCs w:val="32"/>
        </w:rPr>
        <w:t>经开区</w:t>
      </w:r>
      <w:r>
        <w:rPr>
          <w:rFonts w:eastAsia="方正仿宋_GBK"/>
          <w:sz w:val="32"/>
          <w:szCs w:val="32"/>
          <w:lang w:val="zh-CN"/>
        </w:rPr>
        <w:t>与市政交通运输体系建设的衔接，启动建设前进大道（九州大道—白石大道）、环北路（靖阳路—胜峰路）、学府路北延线、长征路南延线等连接内外区域路网的主道路30条。推进</w:t>
      </w:r>
      <w:r>
        <w:rPr>
          <w:rFonts w:eastAsia="方正仿宋_GBK"/>
          <w:sz w:val="32"/>
          <w:szCs w:val="32"/>
        </w:rPr>
        <w:t>经开区</w:t>
      </w:r>
      <w:r>
        <w:rPr>
          <w:rFonts w:eastAsia="方正仿宋_GBK"/>
          <w:sz w:val="32"/>
          <w:szCs w:val="32"/>
          <w:lang w:val="zh-CN"/>
        </w:rPr>
        <w:t>与中心城市、城市群重要节点、交通干线以及铁路场站、港口、机场、管道运转中心、物流节点间连接通道建设。</w:t>
      </w:r>
      <w:r>
        <w:rPr>
          <w:rFonts w:eastAsia="方正仿宋_GBK"/>
          <w:b/>
          <w:sz w:val="32"/>
          <w:szCs w:val="32"/>
          <w:lang w:val="zh-CN"/>
        </w:rPr>
        <w:t>加强供水、排水设施建设。</w:t>
      </w:r>
      <w:r>
        <w:rPr>
          <w:rFonts w:eastAsia="方正仿宋_GBK"/>
          <w:sz w:val="32"/>
          <w:szCs w:val="32"/>
          <w:lang w:val="zh-CN"/>
        </w:rPr>
        <w:t>启动独木水库引水工程及南海子水厂工程，着力保障人民及企业用水稳定可靠。重点解决企业污水处理难题，新建或改扩建南海子及西城污水处理厂。</w:t>
      </w:r>
      <w:r>
        <w:rPr>
          <w:rFonts w:eastAsia="方正仿宋_GBK"/>
          <w:b/>
          <w:sz w:val="32"/>
          <w:szCs w:val="32"/>
          <w:lang w:val="zh-CN"/>
        </w:rPr>
        <w:t>加速推进供电设施建设。</w:t>
      </w:r>
      <w:r>
        <w:rPr>
          <w:rFonts w:eastAsia="方正仿宋_GBK"/>
          <w:sz w:val="32"/>
          <w:szCs w:val="32"/>
          <w:lang w:val="zh-CN"/>
        </w:rPr>
        <w:t>启动500</w:t>
      </w:r>
      <w:r>
        <w:rPr>
          <w:rFonts w:eastAsia="方正仿宋_GBK"/>
          <w:sz w:val="32"/>
          <w:szCs w:val="32"/>
        </w:rPr>
        <w:t>kV</w:t>
      </w:r>
      <w:r>
        <w:rPr>
          <w:rFonts w:eastAsia="方正仿宋_GBK"/>
          <w:sz w:val="32"/>
          <w:szCs w:val="32"/>
          <w:lang w:val="zh-CN"/>
        </w:rPr>
        <w:t>西山变电站建设工程，切实保障企业用电平稳、安全。力争早日形成布局合理、功能完善、衔接顺畅、运作高效的基础设施网络。</w:t>
      </w:r>
    </w:p>
    <w:p w14:paraId="69F41AFE">
      <w:pPr>
        <w:ind w:firstLine="640" w:firstLineChars="200"/>
        <w:rPr>
          <w:rFonts w:ascii="方正楷体_GBK" w:eastAsia="方正楷体_GBK"/>
          <w:b/>
          <w:sz w:val="32"/>
          <w:szCs w:val="32"/>
        </w:rPr>
      </w:pPr>
      <w:bookmarkStart w:id="230" w:name="_Toc76716301"/>
      <w:bookmarkStart w:id="231" w:name="_Toc27057"/>
      <w:bookmarkStart w:id="232" w:name="_Toc27634"/>
      <w:bookmarkStart w:id="233" w:name="_Toc81570120"/>
      <w:bookmarkStart w:id="234" w:name="_Toc81570024"/>
      <w:bookmarkStart w:id="235" w:name="_Toc9370"/>
      <w:bookmarkStart w:id="236" w:name="_Toc19665"/>
      <w:r>
        <w:rPr>
          <w:rFonts w:ascii="方正楷体_GBK" w:eastAsia="方正楷体_GBK"/>
          <w:b/>
          <w:sz w:val="32"/>
          <w:szCs w:val="32"/>
        </w:rPr>
        <w:t>第二节  推进城市功能</w:t>
      </w:r>
      <w:bookmarkEnd w:id="230"/>
      <w:bookmarkEnd w:id="231"/>
      <w:r>
        <w:rPr>
          <w:rFonts w:ascii="方正楷体_GBK" w:eastAsia="方正楷体_GBK"/>
          <w:b/>
          <w:sz w:val="32"/>
          <w:szCs w:val="32"/>
        </w:rPr>
        <w:t>完善</w:t>
      </w:r>
      <w:bookmarkEnd w:id="232"/>
      <w:bookmarkEnd w:id="233"/>
      <w:bookmarkEnd w:id="234"/>
      <w:bookmarkEnd w:id="235"/>
      <w:bookmarkEnd w:id="236"/>
    </w:p>
    <w:p w14:paraId="0753D75E">
      <w:pPr>
        <w:spacing w:line="600" w:lineRule="exact"/>
        <w:ind w:firstLine="640" w:firstLineChars="200"/>
        <w:rPr>
          <w:rFonts w:eastAsia="方正仿宋_GBK"/>
          <w:sz w:val="32"/>
          <w:szCs w:val="32"/>
          <w:lang w:val="zh-CN"/>
        </w:rPr>
      </w:pPr>
      <w:r>
        <w:rPr>
          <w:rFonts w:eastAsia="方正仿宋_GBK"/>
          <w:b/>
          <w:sz w:val="32"/>
          <w:szCs w:val="32"/>
          <w:lang w:val="zh-CN"/>
        </w:rPr>
        <w:t>优化经济功能。</w:t>
      </w:r>
      <w:r>
        <w:rPr>
          <w:rFonts w:eastAsia="方正仿宋_GBK"/>
          <w:sz w:val="32"/>
          <w:szCs w:val="32"/>
          <w:lang w:val="zh-CN"/>
        </w:rPr>
        <w:t>依托经开区的区位优势、产业优势，不断完善城市功能，提升人居环境，以产兴城、以城促产、产城融合。以万达广场、万乐城、曲靖外滩为龙头，全面提升三江大道城市新商圈。依托曲靖区域教育中心、医疗中心建设，加快发展医疗康养产业。重点推进爨文化小镇、富康生态城、中央商务区等商业综合体、品牌商圈、专业市场建设，逐步形成集文化旅游、商贸物流、总部经济为主的城市经济发展新模式新业态。推进先进制造业与现代服务业深度融合，完善城市功能，创建优势品牌，促进文旅融合、文商融合、文产融合，增强聚集辐射能力，加快城市经济集聚发展。</w:t>
      </w:r>
    </w:p>
    <w:p w14:paraId="77C8B9BB">
      <w:pPr>
        <w:spacing w:line="600" w:lineRule="exact"/>
        <w:ind w:firstLine="640" w:firstLineChars="200"/>
        <w:rPr>
          <w:rFonts w:eastAsia="方正仿宋_GBK"/>
          <w:sz w:val="32"/>
          <w:szCs w:val="32"/>
          <w:lang w:val="zh-CN"/>
        </w:rPr>
      </w:pPr>
      <w:r>
        <w:rPr>
          <w:rFonts w:eastAsia="方正仿宋_GBK"/>
          <w:b/>
          <w:sz w:val="32"/>
          <w:szCs w:val="32"/>
          <w:lang w:val="zh-CN"/>
        </w:rPr>
        <w:t>完善生活配套。</w:t>
      </w:r>
      <w:r>
        <w:rPr>
          <w:rFonts w:eastAsia="方正仿宋_GBK"/>
          <w:sz w:val="32"/>
          <w:szCs w:val="32"/>
          <w:lang w:val="zh-CN"/>
        </w:rPr>
        <w:t>优化经开区生活服务供给，加快建设南海子工业园商业网配套、生活配套以及社区配套等，高质量高水平规划建设南海科技城。完善经开区公交线路，提高经开区员工出行的便利化。合理规划一批停车场、油气电综合服务站、酒店、体育场地等生活配套设施，采取市场化方式招引餐饮、金融、零售等便民服务企业入驻，提升经开区员工生活品质。合理开发住房项目，推出一批人才公寓，解决产业园区员工居住问题。提高中心城区服务供给水平，推动经开区生活性服务业向高品质多样化升级，促进产业聚集区与生活配套区的融合发展，提高经开区居民生活水平和质量。</w:t>
      </w:r>
    </w:p>
    <w:p w14:paraId="2F44242D">
      <w:pPr>
        <w:ind w:firstLine="640" w:firstLineChars="200"/>
        <w:rPr>
          <w:rFonts w:ascii="方正楷体_GBK" w:eastAsia="方正楷体_GBK"/>
          <w:b/>
          <w:sz w:val="32"/>
          <w:szCs w:val="32"/>
        </w:rPr>
      </w:pPr>
      <w:bookmarkStart w:id="237" w:name="_Toc81570121"/>
      <w:bookmarkStart w:id="238" w:name="_Toc81570025"/>
      <w:bookmarkStart w:id="239" w:name="_Toc11126"/>
      <w:bookmarkStart w:id="240" w:name="_Toc6338"/>
      <w:bookmarkStart w:id="241" w:name="_Toc76716302"/>
      <w:bookmarkStart w:id="242" w:name="_Toc31967"/>
      <w:bookmarkStart w:id="243" w:name="_Toc26599"/>
      <w:r>
        <w:rPr>
          <w:rFonts w:ascii="方正楷体_GBK" w:eastAsia="方正楷体_GBK"/>
          <w:b/>
          <w:sz w:val="32"/>
          <w:szCs w:val="32"/>
        </w:rPr>
        <w:t>第三节  全面推进乡村振兴</w:t>
      </w:r>
      <w:bookmarkEnd w:id="237"/>
      <w:bookmarkEnd w:id="238"/>
      <w:bookmarkEnd w:id="239"/>
      <w:bookmarkEnd w:id="240"/>
      <w:bookmarkEnd w:id="241"/>
      <w:bookmarkEnd w:id="242"/>
      <w:bookmarkEnd w:id="243"/>
    </w:p>
    <w:p w14:paraId="0D516BFB">
      <w:pPr>
        <w:spacing w:line="600" w:lineRule="exact"/>
        <w:ind w:firstLine="640" w:firstLineChars="200"/>
        <w:rPr>
          <w:rFonts w:eastAsia="方正仿宋_GBK"/>
          <w:sz w:val="32"/>
          <w:szCs w:val="32"/>
          <w:lang w:val="zh-CN"/>
        </w:rPr>
      </w:pPr>
      <w:r>
        <w:rPr>
          <w:rFonts w:eastAsia="方正仿宋_GBK"/>
          <w:b/>
          <w:sz w:val="32"/>
          <w:szCs w:val="32"/>
          <w:lang w:val="zh-CN"/>
        </w:rPr>
        <w:t>加快农业现代化建设。</w:t>
      </w:r>
      <w:r>
        <w:rPr>
          <w:rFonts w:eastAsia="方正仿宋_GBK"/>
          <w:sz w:val="32"/>
          <w:szCs w:val="32"/>
          <w:lang w:val="zh-CN"/>
        </w:rPr>
        <w:t>高品质发展农业产业，加快发展特色种植业，打造高效益精品农业，加快体验农庄等观光采摘基地建设。培育发展农村新型业态，推进农村流通现代化。实施农业科技创新工程，加强“智慧农业”建设，总结推广蓝</w:t>
      </w:r>
      <w:r>
        <w:rPr>
          <w:rFonts w:eastAsia="方正仿宋_GBK"/>
          <w:spacing w:val="-6"/>
          <w:sz w:val="32"/>
          <w:szCs w:val="32"/>
          <w:lang w:val="zh-CN"/>
        </w:rPr>
        <w:t>莓种植数据中心建设经验，推动现代信息技术与农业深度融合。</w:t>
      </w:r>
    </w:p>
    <w:p w14:paraId="552C0591">
      <w:pPr>
        <w:spacing w:line="600" w:lineRule="exact"/>
        <w:ind w:firstLine="640" w:firstLineChars="200"/>
        <w:rPr>
          <w:rFonts w:eastAsia="方正仿宋_GBK"/>
          <w:sz w:val="32"/>
          <w:szCs w:val="32"/>
          <w:lang w:val="zh-CN"/>
        </w:rPr>
      </w:pPr>
      <w:r>
        <w:rPr>
          <w:rFonts w:eastAsia="方正仿宋_GBK"/>
          <w:b/>
          <w:sz w:val="32"/>
          <w:szCs w:val="32"/>
          <w:lang w:val="zh-CN"/>
        </w:rPr>
        <w:t>实施乡村建设行动。</w:t>
      </w:r>
      <w:r>
        <w:rPr>
          <w:rFonts w:eastAsia="方正仿宋_GBK"/>
          <w:sz w:val="32"/>
          <w:szCs w:val="32"/>
          <w:lang w:val="zh-CN"/>
        </w:rPr>
        <w:t>改善农村基础设施，提升村庄村容村貌，提升村居环境综合整治水平，引入社会资本参与村庄建设，走乡村旅游、康养、田园一体化、创业、生物资源科创孵化的发展道路。健全村居环境管护长效机制，坚持“建管并重”，探索政府支持与村民自治、市场化运作相结合的村居环保设施管理体制。</w:t>
      </w:r>
    </w:p>
    <w:p w14:paraId="642A7219">
      <w:pPr>
        <w:spacing w:line="600" w:lineRule="exact"/>
        <w:ind w:firstLine="640" w:firstLineChars="200"/>
        <w:rPr>
          <w:rFonts w:eastAsia="方正仿宋_GBK"/>
          <w:sz w:val="32"/>
          <w:szCs w:val="32"/>
          <w:lang w:val="zh-CN"/>
        </w:rPr>
      </w:pPr>
      <w:r>
        <w:rPr>
          <w:rFonts w:eastAsia="方正仿宋_GBK"/>
          <w:b/>
          <w:sz w:val="32"/>
          <w:szCs w:val="32"/>
          <w:lang w:val="zh-CN"/>
        </w:rPr>
        <w:t>改善和保障乡村民生。</w:t>
      </w:r>
      <w:r>
        <w:rPr>
          <w:rFonts w:eastAsia="方正仿宋_GBK"/>
          <w:sz w:val="32"/>
          <w:szCs w:val="32"/>
          <w:lang w:val="zh-CN"/>
        </w:rPr>
        <w:t>完善农村社会保障，实施全民参保计划，预留村集体发展用地，由集体组织开发作为经济收入来源，逐步壮大村集体经济。提升农民创业就业质量，大力推行安置新区的招商引资，增强产业发展后劲和带动区域发展能力，依托产业项目拓宽居民群众就业渠道，优化创业就业服务，设立农村就业服务指导工作小组，为农民工收集</w:t>
      </w:r>
      <w:r>
        <w:rPr>
          <w:rFonts w:eastAsia="方正仿宋_GBK"/>
          <w:spacing w:val="-16"/>
          <w:sz w:val="32"/>
          <w:szCs w:val="32"/>
          <w:lang w:val="zh-CN"/>
        </w:rPr>
        <w:t>各方就业招工信息，并提供政策咨询、职业介绍、就业培训等服务。</w:t>
      </w:r>
    </w:p>
    <w:p w14:paraId="7CE369C6">
      <w:pPr>
        <w:ind w:firstLine="640" w:firstLineChars="200"/>
        <w:rPr>
          <w:rFonts w:ascii="方正楷体_GBK" w:eastAsia="方正楷体_GBK"/>
          <w:b/>
          <w:sz w:val="32"/>
          <w:szCs w:val="32"/>
        </w:rPr>
      </w:pPr>
      <w:bookmarkStart w:id="244" w:name="_Toc26644"/>
      <w:bookmarkStart w:id="245" w:name="_Toc81570026"/>
      <w:bookmarkStart w:id="246" w:name="_Toc25195"/>
      <w:bookmarkStart w:id="247" w:name="_Toc18469"/>
      <w:bookmarkStart w:id="248" w:name="_Toc81570122"/>
      <w:bookmarkStart w:id="249" w:name="_Toc8716"/>
      <w:bookmarkStart w:id="250" w:name="_Toc76716303"/>
      <w:r>
        <w:rPr>
          <w:rFonts w:ascii="方正楷体_GBK" w:eastAsia="方正楷体_GBK"/>
          <w:b/>
          <w:sz w:val="32"/>
          <w:szCs w:val="32"/>
        </w:rPr>
        <w:t>第四节  提升公共服务水平</w:t>
      </w:r>
      <w:bookmarkEnd w:id="244"/>
      <w:bookmarkEnd w:id="245"/>
      <w:bookmarkEnd w:id="246"/>
      <w:bookmarkEnd w:id="247"/>
      <w:bookmarkEnd w:id="248"/>
      <w:bookmarkEnd w:id="249"/>
      <w:bookmarkEnd w:id="250"/>
    </w:p>
    <w:p w14:paraId="1FB65760">
      <w:pPr>
        <w:spacing w:line="600" w:lineRule="exact"/>
        <w:ind w:firstLine="640" w:firstLineChars="200"/>
        <w:rPr>
          <w:rFonts w:eastAsia="方正仿宋_GBK"/>
          <w:sz w:val="32"/>
          <w:szCs w:val="32"/>
          <w:lang w:val="zh-CN"/>
        </w:rPr>
      </w:pPr>
      <w:r>
        <w:rPr>
          <w:rFonts w:eastAsia="方正仿宋_GBK"/>
          <w:b/>
          <w:sz w:val="32"/>
          <w:szCs w:val="32"/>
          <w:lang w:val="zh-CN"/>
        </w:rPr>
        <w:t>提高区域内教育医疗服务水平。</w:t>
      </w:r>
      <w:r>
        <w:rPr>
          <w:rFonts w:eastAsia="方正仿宋_GBK"/>
          <w:sz w:val="32"/>
          <w:szCs w:val="32"/>
          <w:lang w:val="zh-CN"/>
        </w:rPr>
        <w:t>全面贯彻党的教育方针，健全学校家庭社会协同育人机制，坚持教育公益性原则，深化教育改革。紧紧围绕建设区域教育中心，整合资源、优化布局，提高教育资源配置水平，建设高质量教育体系。推动学前教育普惠提质，促进义务教育优质均衡发展和城乡一体化，提升高中阶段教育发展水平增强职教的适应性、深化产教融合、校企合作等教育资源，推进学校及服务机构标准化。把保障人民健康放在优先发展的战略位置，提高区域内医疗服务水平。持续做好疫情常态化防控工作。</w:t>
      </w:r>
    </w:p>
    <w:p w14:paraId="50576AEE">
      <w:pPr>
        <w:spacing w:line="600" w:lineRule="exact"/>
        <w:ind w:firstLine="640" w:firstLineChars="200"/>
        <w:rPr>
          <w:rFonts w:eastAsia="方正仿宋_GBK"/>
          <w:sz w:val="32"/>
          <w:szCs w:val="32"/>
          <w:lang w:val="zh-CN"/>
        </w:rPr>
      </w:pPr>
      <w:r>
        <w:rPr>
          <w:rFonts w:eastAsia="方正仿宋_GBK"/>
          <w:b/>
          <w:sz w:val="32"/>
          <w:szCs w:val="32"/>
          <w:lang w:val="zh-CN"/>
        </w:rPr>
        <w:t>加强和创新社会治理。</w:t>
      </w:r>
      <w:r>
        <w:rPr>
          <w:rFonts w:eastAsia="方正仿宋_GBK"/>
          <w:sz w:val="32"/>
          <w:szCs w:val="32"/>
          <w:lang w:val="zh-CN"/>
        </w:rPr>
        <w:t>坚持以法治思维和法治方式全面推进依法治区，加强宪法实施和监督，创新法治人才选拔培养机制，实施社会治理法治保障工程，全面推进市域社会治理现代化各项工作。实施党建引领智慧经开，重点从市域社会治理、全国文明城市创建、爱国卫生“7个专项行动”常态化管理、一网通办、智慧园区等方面，全面落实社区“两委”换届候选人区级联审机制。完善社会事务管理，提高社会专项事务服务水平。</w:t>
      </w:r>
      <w:r>
        <w:rPr>
          <w:rFonts w:hint="eastAsia" w:eastAsia="方正仿宋_GBK"/>
          <w:sz w:val="32"/>
          <w:szCs w:val="32"/>
          <w:lang w:val="zh-CN"/>
        </w:rPr>
        <w:t>健全完善志愿服务体系，广泛开展志愿服务关爱行动，提高社会文明程度。</w:t>
      </w:r>
      <w:r>
        <w:rPr>
          <w:rFonts w:eastAsia="方正仿宋_GBK"/>
          <w:sz w:val="32"/>
          <w:szCs w:val="32"/>
          <w:lang w:val="zh-CN"/>
        </w:rPr>
        <w:t>加大对街道、社区基层治理资金、人员的支持力度。依托信息化、大数据手段，搭建数字化治理平台、经开区应急处置中心，推进经开区社会治理中心（综治中心）建设，提高辖区信息化前端采集设备的覆盖面，推动各类数据资源融合共享，推进公安侦查中心建设，建立经开区反诈中心。提升公安装备、</w:t>
      </w:r>
      <w:r>
        <w:rPr>
          <w:rFonts w:eastAsia="方正仿宋_GBK"/>
          <w:sz w:val="32"/>
          <w:szCs w:val="32"/>
        </w:rPr>
        <w:t>用房等保障</w:t>
      </w:r>
      <w:r>
        <w:rPr>
          <w:rFonts w:eastAsia="方正仿宋_GBK"/>
          <w:sz w:val="32"/>
          <w:szCs w:val="32"/>
          <w:lang w:val="zh-CN"/>
        </w:rPr>
        <w:t>水平，建立经开区现代化警务运行机制。</w:t>
      </w:r>
    </w:p>
    <w:p w14:paraId="741DFBF2">
      <w:pPr>
        <w:widowControl/>
        <w:jc w:val="left"/>
        <w:rPr>
          <w:sz w:val="32"/>
          <w:szCs w:val="32"/>
        </w:rPr>
      </w:pPr>
      <w:r>
        <w:rPr>
          <w:sz w:val="32"/>
          <w:szCs w:val="32"/>
        </w:rPr>
        <w:br w:type="page"/>
      </w:r>
    </w:p>
    <w:p w14:paraId="3CC3F975">
      <w:pPr>
        <w:spacing w:beforeLines="100" w:afterLines="100" w:line="600" w:lineRule="exact"/>
        <w:jc w:val="center"/>
        <w:rPr>
          <w:rFonts w:ascii="方正黑体_GBK" w:eastAsia="方正黑体_GBK"/>
          <w:sz w:val="32"/>
          <w:szCs w:val="32"/>
        </w:rPr>
      </w:pPr>
      <w:bookmarkStart w:id="251" w:name="_Toc19305"/>
      <w:bookmarkStart w:id="252" w:name="_Toc30921"/>
      <w:bookmarkStart w:id="253" w:name="_Toc81570027"/>
      <w:bookmarkStart w:id="254" w:name="_Toc76716304"/>
      <w:bookmarkStart w:id="255" w:name="_Toc18201"/>
      <w:bookmarkStart w:id="256" w:name="_Toc25214"/>
      <w:bookmarkStart w:id="257" w:name="_Toc81570123"/>
      <w:r>
        <w:rPr>
          <w:rFonts w:hint="eastAsia" w:ascii="方正黑体_GBK" w:eastAsia="方正黑体_GBK"/>
          <w:sz w:val="32"/>
          <w:szCs w:val="32"/>
        </w:rPr>
        <w:t>第十章  优化经开区发展环境</w:t>
      </w:r>
      <w:bookmarkEnd w:id="251"/>
      <w:bookmarkEnd w:id="252"/>
      <w:bookmarkEnd w:id="253"/>
      <w:bookmarkEnd w:id="254"/>
      <w:bookmarkEnd w:id="255"/>
      <w:bookmarkEnd w:id="256"/>
      <w:bookmarkEnd w:id="257"/>
    </w:p>
    <w:p w14:paraId="6353D234">
      <w:pPr>
        <w:spacing w:line="600" w:lineRule="exact"/>
        <w:ind w:firstLine="640" w:firstLineChars="200"/>
        <w:rPr>
          <w:rFonts w:eastAsia="方正仿宋_GBK"/>
          <w:sz w:val="32"/>
          <w:szCs w:val="32"/>
          <w:lang w:val="zh-CN"/>
        </w:rPr>
      </w:pPr>
      <w:r>
        <w:rPr>
          <w:rFonts w:eastAsia="方正仿宋_GBK"/>
          <w:sz w:val="32"/>
          <w:szCs w:val="32"/>
          <w:lang w:val="zh-CN"/>
        </w:rPr>
        <w:t>加强各类要素支撑，为经开区的发展提供有力保障，全面深化“放管服”改革，促进营商环境市场化、法治化、国际化，推动有效市场和有为政府更好结合。</w:t>
      </w:r>
    </w:p>
    <w:p w14:paraId="7FBEB183">
      <w:pPr>
        <w:spacing w:line="600" w:lineRule="exact"/>
        <w:ind w:firstLine="640" w:firstLineChars="200"/>
        <w:rPr>
          <w:rFonts w:ascii="方正楷体_GBK" w:eastAsia="方正楷体_GBK"/>
          <w:b/>
          <w:sz w:val="32"/>
          <w:szCs w:val="32"/>
        </w:rPr>
      </w:pPr>
      <w:bookmarkStart w:id="258" w:name="_Toc81570028"/>
      <w:bookmarkStart w:id="259" w:name="_Toc81570124"/>
      <w:bookmarkStart w:id="260" w:name="_Toc76716305"/>
      <w:bookmarkStart w:id="261" w:name="_Toc8974"/>
      <w:bookmarkStart w:id="262" w:name="_Toc11858"/>
      <w:bookmarkStart w:id="263" w:name="_Toc14983"/>
      <w:bookmarkStart w:id="264" w:name="_Toc20425"/>
      <w:r>
        <w:rPr>
          <w:rFonts w:hint="eastAsia" w:ascii="方正楷体_GBK" w:eastAsia="方正楷体_GBK"/>
          <w:b/>
          <w:sz w:val="32"/>
          <w:szCs w:val="32"/>
        </w:rPr>
        <w:t>第一节  加强各类要素保障</w:t>
      </w:r>
      <w:bookmarkEnd w:id="258"/>
      <w:bookmarkEnd w:id="259"/>
      <w:bookmarkEnd w:id="260"/>
      <w:bookmarkEnd w:id="261"/>
      <w:bookmarkEnd w:id="262"/>
      <w:bookmarkEnd w:id="263"/>
      <w:bookmarkEnd w:id="264"/>
    </w:p>
    <w:p w14:paraId="48769046">
      <w:pPr>
        <w:spacing w:line="600" w:lineRule="exact"/>
        <w:ind w:firstLine="640" w:firstLineChars="200"/>
        <w:rPr>
          <w:rFonts w:eastAsia="方正仿宋_GBK"/>
          <w:sz w:val="32"/>
          <w:szCs w:val="32"/>
          <w:lang w:val="zh-CN"/>
        </w:rPr>
      </w:pPr>
      <w:r>
        <w:rPr>
          <w:rFonts w:eastAsia="方正仿宋_GBK"/>
          <w:b/>
          <w:sz w:val="32"/>
          <w:szCs w:val="32"/>
          <w:lang w:val="zh-CN"/>
        </w:rPr>
        <w:t>增强人才供给保障。</w:t>
      </w:r>
      <w:r>
        <w:rPr>
          <w:rFonts w:eastAsia="方正仿宋_GBK"/>
          <w:sz w:val="32"/>
          <w:szCs w:val="32"/>
          <w:lang w:val="zh-CN"/>
        </w:rPr>
        <w:t>加强经开区内职业技能培训机构的建设力度，增加职业技能培训机构数量，提高培训机构教育质量。深化产教融合，鼓励经开区内骨干企业与有条件的省、市高等院校开展协同培训，培养符合经开区产业发展的具备优秀管理能力和扎实技术水平的综合型人才。依托产业基地建设产业人才实训基地，开展人才定制培训，积极推动职业院校（技工院校）与制造业企业对接合作，提高技术技能人才培养的针对性、有效性。加强管委会人才队伍建设，以环境吸引、政策吸引和人文吸引加大人才引进，完善职称评定和管理模式，不断提升管委会管理水平。建立灵活的用人机制，按照科学务实、精简高效的原则，根据工作需要自主调整设置机构、使用编制，建立严格规范的选人用人机制，并对经开区领导班子进行日常管理和定期考核，重点考察领导班子建设和干部选拔任用等情况。</w:t>
      </w:r>
    </w:p>
    <w:p w14:paraId="3AC38229">
      <w:pPr>
        <w:spacing w:line="600" w:lineRule="exact"/>
        <w:ind w:firstLine="640" w:firstLineChars="200"/>
        <w:rPr>
          <w:rFonts w:eastAsia="方正仿宋_GBK"/>
          <w:sz w:val="32"/>
          <w:szCs w:val="32"/>
          <w:lang w:val="zh-CN"/>
        </w:rPr>
      </w:pPr>
      <w:r>
        <w:rPr>
          <w:rFonts w:eastAsia="方正仿宋_GBK"/>
          <w:b/>
          <w:sz w:val="32"/>
          <w:szCs w:val="32"/>
          <w:lang w:val="zh-CN"/>
        </w:rPr>
        <w:t>加强土地供应保障。</w:t>
      </w:r>
      <w:r>
        <w:rPr>
          <w:rFonts w:eastAsia="方正仿宋_GBK"/>
          <w:sz w:val="32"/>
          <w:szCs w:val="32"/>
          <w:lang w:val="zh-CN"/>
        </w:rPr>
        <w:t>强化国土空间规划和用途管制，划定落实生态保护红线、永久基本农田、城镇开发边界。按照城乡一体、全城管控的要求，坚持多规合一、功能互补，通盘考虑城镇和乡村发展，统筹谋划产业发展、基础设施、公共服务、生态保护等主要布局，实现一张蓝图干到底。建立健全城乡统一的建设用地市场，统筹推进农村土地征收、集体经营性建设用地入市、宅基地制度改革。强化落实“土地要素跟着项目走”，加大批而未供和闲置土地清理处置力度，强化推进占补平衡各项工作，确保各类建设项目用地依法得到保障。</w:t>
      </w:r>
    </w:p>
    <w:p w14:paraId="2FEA5532">
      <w:pPr>
        <w:spacing w:line="600" w:lineRule="exact"/>
        <w:ind w:firstLine="640" w:firstLineChars="200"/>
        <w:rPr>
          <w:rFonts w:eastAsia="方正仿宋_GBK"/>
          <w:sz w:val="32"/>
          <w:szCs w:val="32"/>
          <w:lang w:val="zh-CN"/>
        </w:rPr>
      </w:pPr>
      <w:r>
        <w:rPr>
          <w:rFonts w:eastAsia="方正仿宋_GBK"/>
          <w:b/>
          <w:sz w:val="32"/>
          <w:szCs w:val="32"/>
          <w:lang w:val="zh-CN"/>
        </w:rPr>
        <w:t>强化水电资源供给保障。</w:t>
      </w:r>
      <w:r>
        <w:rPr>
          <w:rFonts w:eastAsia="方正仿宋_GBK"/>
          <w:sz w:val="32"/>
          <w:szCs w:val="32"/>
          <w:lang w:val="zh-CN"/>
        </w:rPr>
        <w:t>明确水电气网建设责任主体，优化水电气网配套设施相关审批流程，推动项目快速建成投产，保障企业办公、生产和建设需要。结合全市水电气网网络建设情况，充分考虑经开区产业项目落地投产需要，加强整体规划，科学、合理布局水电气网网络。对区域给排水、电力、燃气、网络配套设施进行定期监测，整体监测水电气网供给能力和环保要求，根据实际情况对相关建设任务进行动态调整，提高资源使用效率。</w:t>
      </w:r>
    </w:p>
    <w:p w14:paraId="11392417">
      <w:pPr>
        <w:spacing w:line="600" w:lineRule="exact"/>
        <w:ind w:firstLine="640" w:firstLineChars="200"/>
        <w:rPr>
          <w:rFonts w:eastAsia="方正仿宋_GBK"/>
          <w:sz w:val="32"/>
          <w:szCs w:val="32"/>
          <w:lang w:val="zh-CN"/>
        </w:rPr>
      </w:pPr>
      <w:r>
        <w:rPr>
          <w:rFonts w:eastAsia="方正仿宋_GBK"/>
          <w:b/>
          <w:sz w:val="32"/>
          <w:szCs w:val="32"/>
          <w:lang w:val="zh-CN"/>
        </w:rPr>
        <w:t>加强财政金融支持。</w:t>
      </w:r>
      <w:r>
        <w:rPr>
          <w:rFonts w:eastAsia="方正仿宋_GBK"/>
          <w:sz w:val="32"/>
          <w:szCs w:val="32"/>
          <w:lang w:val="zh-CN"/>
        </w:rPr>
        <w:t>充分利用国家财政、税收、金融等方面的支持政策，加大对经开区主导产业的扶持力度，提高对科技创新企业的奖励水平，进一步降低企业经营成本。按照“政府引导，市场运作”的原则，探索丰富经开区产业引导基金、创业投资基金等，引导和支持社会资金参与经开区建设及企业投融资项目。创新投融资机制，积极推动经开区建设集团将主体长期信用评级调升至AA+级，</w:t>
      </w:r>
      <w:r>
        <w:rPr>
          <w:rFonts w:hint="eastAsia" w:eastAsia="方正仿宋_GBK"/>
          <w:sz w:val="32"/>
          <w:szCs w:val="32"/>
          <w:lang w:val="zh-CN"/>
        </w:rPr>
        <w:t>营业突破15亿，资产达300亿元。</w:t>
      </w:r>
      <w:r>
        <w:rPr>
          <w:rFonts w:eastAsia="方正仿宋_GBK"/>
          <w:sz w:val="32"/>
          <w:szCs w:val="32"/>
          <w:lang w:val="zh-CN"/>
        </w:rPr>
        <w:t>提升平台服务效能，提高金融机构与经开区企业重大项目的信息对接效率。支持企业灵活运用股权融资、债权融资、基金投资、银行贷款、信用担保、知识产权质押等多种融资渠道，解决项目建设中的投融资问题。</w:t>
      </w:r>
    </w:p>
    <w:p w14:paraId="4D34FC06">
      <w:pPr>
        <w:spacing w:line="600" w:lineRule="exact"/>
        <w:ind w:firstLine="640" w:firstLineChars="200"/>
        <w:rPr>
          <w:rFonts w:ascii="方正楷体_GBK" w:eastAsia="方正楷体_GBK"/>
          <w:b/>
          <w:sz w:val="32"/>
          <w:szCs w:val="32"/>
        </w:rPr>
      </w:pPr>
      <w:bookmarkStart w:id="265" w:name="_Toc81570125"/>
      <w:bookmarkStart w:id="266" w:name="_Toc81570029"/>
      <w:bookmarkStart w:id="267" w:name="_Toc30056"/>
      <w:bookmarkStart w:id="268" w:name="_Toc24175"/>
      <w:bookmarkStart w:id="269" w:name="_Toc26165"/>
      <w:bookmarkStart w:id="270" w:name="_Toc76716306"/>
      <w:bookmarkStart w:id="271" w:name="_Toc800"/>
      <w:r>
        <w:rPr>
          <w:rFonts w:ascii="方正楷体_GBK" w:eastAsia="方正楷体_GBK"/>
          <w:b/>
          <w:sz w:val="32"/>
          <w:szCs w:val="32"/>
        </w:rPr>
        <w:t>第二节  提高行政审批效率</w:t>
      </w:r>
      <w:bookmarkEnd w:id="265"/>
      <w:bookmarkEnd w:id="266"/>
      <w:bookmarkEnd w:id="267"/>
      <w:bookmarkEnd w:id="268"/>
      <w:bookmarkEnd w:id="269"/>
      <w:bookmarkEnd w:id="270"/>
      <w:bookmarkEnd w:id="271"/>
    </w:p>
    <w:p w14:paraId="03A6F6BE">
      <w:pPr>
        <w:spacing w:line="600" w:lineRule="exact"/>
        <w:ind w:firstLine="640" w:firstLineChars="200"/>
        <w:rPr>
          <w:rFonts w:eastAsia="方正仿宋_GBK"/>
          <w:sz w:val="32"/>
          <w:szCs w:val="32"/>
          <w:lang w:val="zh-CN"/>
        </w:rPr>
      </w:pPr>
      <w:r>
        <w:rPr>
          <w:rFonts w:eastAsia="方正仿宋_GBK"/>
          <w:sz w:val="32"/>
          <w:szCs w:val="32"/>
          <w:lang w:val="zh-CN"/>
        </w:rPr>
        <w:t>持续推进行政审批制度改革，集中行政审批事项，实行“一枚印章管审批”。深化商事制度审批改革，放宽市场准入，精简优化行政审批制度，加快推进企业简易注销登记改革，统筹推进“证照分离”、“多证合一”、企业登记全程电子化、电子营业执照和经营范围登记便利化，构建统一、规范、高校、全覆盖的行政审批服务体系，实现“一窗通”，深化市场化主体简易注销改革。深化工建项目审批改革，简化审批事项和审批流程，优化审批服务，继续推广“先建后验”管理新模式，开展工建项目统一“区域评估”工作。强化服务制度保障建设，逐步推出“审批套餐”服务，实现“一件事一次办”，推广“告知承诺”、“容缺受理”、“容缺审批”等审批模式，提高行政审批效率和服务群众的能力。</w:t>
      </w:r>
    </w:p>
    <w:p w14:paraId="139A3898">
      <w:pPr>
        <w:spacing w:line="600" w:lineRule="exact"/>
        <w:ind w:firstLine="640" w:firstLineChars="200"/>
        <w:rPr>
          <w:rFonts w:ascii="方正楷体_GBK" w:eastAsia="方正楷体_GBK"/>
          <w:b/>
          <w:sz w:val="32"/>
          <w:szCs w:val="32"/>
        </w:rPr>
      </w:pPr>
      <w:bookmarkStart w:id="272" w:name="_Toc76716307"/>
      <w:bookmarkStart w:id="273" w:name="_Toc28385"/>
      <w:bookmarkStart w:id="274" w:name="_Toc81570126"/>
      <w:bookmarkStart w:id="275" w:name="_Toc30888"/>
      <w:bookmarkStart w:id="276" w:name="_Toc81570030"/>
      <w:bookmarkStart w:id="277" w:name="_Toc10889"/>
      <w:bookmarkStart w:id="278" w:name="_Toc8393"/>
      <w:r>
        <w:rPr>
          <w:rFonts w:ascii="方正楷体_GBK" w:eastAsia="方正楷体_GBK"/>
          <w:b/>
          <w:sz w:val="32"/>
          <w:szCs w:val="32"/>
        </w:rPr>
        <w:t>第三节  提高政务服务质效</w:t>
      </w:r>
      <w:bookmarkEnd w:id="272"/>
      <w:bookmarkEnd w:id="273"/>
      <w:bookmarkEnd w:id="274"/>
      <w:bookmarkEnd w:id="275"/>
      <w:bookmarkEnd w:id="276"/>
      <w:bookmarkEnd w:id="277"/>
      <w:bookmarkEnd w:id="278"/>
    </w:p>
    <w:p w14:paraId="55F3F184">
      <w:pPr>
        <w:spacing w:line="600" w:lineRule="exact"/>
        <w:ind w:firstLine="640" w:firstLineChars="200"/>
        <w:rPr>
          <w:rFonts w:eastAsia="方正仿宋_GBK"/>
          <w:sz w:val="32"/>
          <w:szCs w:val="32"/>
          <w:lang w:val="zh-CN"/>
        </w:rPr>
      </w:pPr>
      <w:r>
        <w:rPr>
          <w:rFonts w:eastAsia="方正仿宋_GBK"/>
          <w:sz w:val="32"/>
          <w:szCs w:val="32"/>
          <w:lang w:val="zh-CN"/>
        </w:rPr>
        <w:t>认真落实领办代办制度、企业联系人制度和涉企检查报审“三项制度”，着力解决企业办事难问题。坚定推进政务服务事项“一网通办”、“最多跑一次”、“全程服务有保障”等模式，提升工作效率，全面落实工作责任，提供高效优质的政务服务。推进“互联网+政务服务”建设，及时在云南省政务服务平台上完善和发布全部政务服务事项，并不断提高“最多跑一次事项”的数量和占比。开展“跨省通办”审批服务，设立“跨省通办”绿色通道。优化完善政务服务评价机制，提高“好差评”督办、处理效率。建立健全重大政策事前、事后评估长效机制，保持政策延续稳定。</w:t>
      </w:r>
    </w:p>
    <w:p w14:paraId="30ECD3A2">
      <w:pPr>
        <w:spacing w:line="600" w:lineRule="exact"/>
        <w:ind w:firstLine="640" w:firstLineChars="200"/>
        <w:rPr>
          <w:rFonts w:ascii="方正楷体_GBK" w:eastAsia="方正楷体_GBK"/>
          <w:b/>
          <w:sz w:val="32"/>
          <w:szCs w:val="32"/>
        </w:rPr>
      </w:pPr>
      <w:bookmarkStart w:id="279" w:name="_Toc31670"/>
      <w:bookmarkStart w:id="280" w:name="_Toc16029"/>
      <w:bookmarkStart w:id="281" w:name="_Toc81570031"/>
      <w:bookmarkStart w:id="282" w:name="_Toc76716308"/>
      <w:bookmarkStart w:id="283" w:name="_Toc18313"/>
      <w:bookmarkStart w:id="284" w:name="_Toc11846"/>
      <w:bookmarkStart w:id="285" w:name="_Toc81570127"/>
      <w:r>
        <w:rPr>
          <w:rFonts w:ascii="方正楷体_GBK" w:eastAsia="方正楷体_GBK"/>
          <w:b/>
          <w:sz w:val="32"/>
          <w:szCs w:val="32"/>
        </w:rPr>
        <w:t>第四节  完善市场监管体系</w:t>
      </w:r>
      <w:bookmarkEnd w:id="279"/>
      <w:bookmarkEnd w:id="280"/>
      <w:bookmarkEnd w:id="281"/>
      <w:bookmarkEnd w:id="282"/>
      <w:bookmarkEnd w:id="283"/>
      <w:bookmarkEnd w:id="284"/>
      <w:bookmarkEnd w:id="285"/>
    </w:p>
    <w:p w14:paraId="04C43000">
      <w:pPr>
        <w:spacing w:line="600" w:lineRule="exact"/>
        <w:ind w:firstLine="640" w:firstLineChars="200"/>
        <w:rPr>
          <w:rFonts w:eastAsia="方正仿宋_GBK"/>
          <w:sz w:val="32"/>
          <w:szCs w:val="32"/>
          <w:lang w:val="zh-CN"/>
        </w:rPr>
      </w:pPr>
      <w:r>
        <w:rPr>
          <w:rFonts w:eastAsia="方正仿宋_GBK"/>
          <w:sz w:val="32"/>
          <w:szCs w:val="32"/>
          <w:lang w:val="zh-CN"/>
        </w:rPr>
        <w:t>加强市场监管、税务等部门的协作，完善一体化联合监管方式，建立风险可控的联合监管机制。推进综合执法改革。建立集中统一的综合执法机构，整合执法力量，建设网上执法办案系统和联勤联动指挥平台，实现检验检疫、金融、市场监管、税务、环保、安监等部门信息的互通、交换和共享。健全以“双随机、一公开”监管为基本手段、以重点监管为补充、以信用监管为基础的新型监管机制，完善事前事中事后监管体系。推进信用信息系统建设和应用，完善以奖惩制度为重点的社会信用体系运行机制。加强企业普法宣传，设置法律服务点，经贸摩擦预警机制，为企业提供免费法律服务，引导企业建立法律顾问制度和公司律师制度，规范企业依法治理机制，促进经开区内企业依法经营，有效降低企业的违法风险。</w:t>
      </w:r>
    </w:p>
    <w:p w14:paraId="310E42B8">
      <w:pPr>
        <w:pStyle w:val="3"/>
        <w:widowControl/>
        <w:spacing w:beforeLines="100" w:afterLines="100" w:line="600" w:lineRule="exact"/>
        <w:rPr>
          <w:rFonts w:eastAsia="方正黑体_GBK"/>
          <w:szCs w:val="32"/>
          <w:lang w:val="en-US"/>
        </w:rPr>
      </w:pPr>
      <w:r>
        <w:rPr>
          <w:szCs w:val="32"/>
        </w:rPr>
        <w:br w:type="page"/>
      </w:r>
      <w:bookmarkStart w:id="286" w:name="_Toc76716309"/>
      <w:bookmarkStart w:id="287" w:name="_Toc81570032"/>
      <w:bookmarkStart w:id="288" w:name="_Toc10533"/>
      <w:bookmarkStart w:id="289" w:name="_Toc28753"/>
      <w:bookmarkStart w:id="290" w:name="_Toc81570128"/>
      <w:bookmarkStart w:id="291" w:name="_Toc1144"/>
      <w:bookmarkStart w:id="292" w:name="_Toc31015"/>
      <w:r>
        <w:rPr>
          <w:rFonts w:eastAsia="方正黑体_GBK"/>
          <w:szCs w:val="32"/>
          <w:lang w:val="en-US"/>
        </w:rPr>
        <w:t>第十一章  保障措施</w:t>
      </w:r>
      <w:bookmarkEnd w:id="286"/>
      <w:bookmarkEnd w:id="287"/>
      <w:bookmarkEnd w:id="288"/>
      <w:bookmarkEnd w:id="289"/>
      <w:bookmarkEnd w:id="290"/>
      <w:bookmarkEnd w:id="291"/>
      <w:bookmarkEnd w:id="292"/>
    </w:p>
    <w:p w14:paraId="30E24E4B">
      <w:pPr>
        <w:spacing w:line="600" w:lineRule="exact"/>
        <w:ind w:firstLine="602"/>
        <w:rPr>
          <w:rFonts w:eastAsia="方正仿宋_GBK"/>
          <w:sz w:val="32"/>
          <w:szCs w:val="32"/>
          <w:lang w:val="zh-CN"/>
        </w:rPr>
      </w:pPr>
      <w:r>
        <w:rPr>
          <w:rFonts w:eastAsia="方正仿宋_GBK"/>
          <w:sz w:val="32"/>
          <w:szCs w:val="32"/>
          <w:lang w:val="zh-CN"/>
        </w:rPr>
        <w:t>坚持党的全面领导，健全规划实施的保障措施，不断提高管委会组织管理水平，保障经开区企业各项需要，做好经开区风险防控和规划的监督与评估，为经开区“十四五”发展提供全方位的保障。</w:t>
      </w:r>
    </w:p>
    <w:p w14:paraId="1937D45C">
      <w:pPr>
        <w:ind w:firstLine="640" w:firstLineChars="200"/>
        <w:rPr>
          <w:rFonts w:ascii="方正楷体_GBK" w:eastAsia="方正楷体_GBK"/>
          <w:b/>
          <w:sz w:val="32"/>
          <w:szCs w:val="32"/>
        </w:rPr>
      </w:pPr>
      <w:bookmarkStart w:id="293" w:name="_Toc81570129"/>
      <w:bookmarkStart w:id="294" w:name="_Toc8942"/>
      <w:bookmarkStart w:id="295" w:name="_Toc25655"/>
      <w:bookmarkStart w:id="296" w:name="_Toc9718"/>
      <w:bookmarkStart w:id="297" w:name="_Toc81570033"/>
      <w:bookmarkStart w:id="298" w:name="_Toc76716310"/>
      <w:bookmarkStart w:id="299" w:name="_Toc11151"/>
      <w:r>
        <w:rPr>
          <w:rFonts w:ascii="方正楷体_GBK" w:eastAsia="方正楷体_GBK"/>
          <w:b/>
          <w:sz w:val="32"/>
          <w:szCs w:val="32"/>
        </w:rPr>
        <w:t>第一节  坚持党的全面领导</w:t>
      </w:r>
      <w:bookmarkEnd w:id="293"/>
      <w:bookmarkEnd w:id="294"/>
      <w:bookmarkEnd w:id="295"/>
      <w:bookmarkEnd w:id="296"/>
      <w:bookmarkEnd w:id="297"/>
      <w:bookmarkEnd w:id="298"/>
      <w:bookmarkEnd w:id="299"/>
    </w:p>
    <w:p w14:paraId="15FCFF9A">
      <w:pPr>
        <w:spacing w:line="600" w:lineRule="exact"/>
        <w:ind w:firstLine="602"/>
        <w:rPr>
          <w:rFonts w:eastAsia="方正仿宋_GBK"/>
          <w:sz w:val="32"/>
          <w:szCs w:val="32"/>
          <w:lang w:val="zh-CN"/>
        </w:rPr>
      </w:pPr>
      <w:r>
        <w:rPr>
          <w:rFonts w:eastAsia="方正仿宋_GBK"/>
          <w:sz w:val="32"/>
          <w:szCs w:val="32"/>
          <w:lang w:val="zh-CN"/>
        </w:rPr>
        <w:t>贯彻党把方向、谋大局、定政策、促改革的要求，深入学习贯彻习近平新时代中国特色社会主义思想，树牢“四个意识”、坚定“四个自信”、坚决做到“两个维护”，不断提高政治判断力、政治领悟力和政治执行力，把党的领导贯穿到规划实施的各领域和全过程，保障经开区“十四五”规划顺利落地。</w:t>
      </w:r>
    </w:p>
    <w:p w14:paraId="42D46EFE">
      <w:pPr>
        <w:ind w:firstLine="640" w:firstLineChars="200"/>
        <w:rPr>
          <w:rFonts w:ascii="方正楷体_GBK" w:eastAsia="方正楷体_GBK"/>
          <w:b/>
          <w:sz w:val="32"/>
          <w:szCs w:val="32"/>
        </w:rPr>
      </w:pPr>
      <w:bookmarkStart w:id="300" w:name="_Toc76716311"/>
      <w:bookmarkStart w:id="301" w:name="_Toc31300"/>
      <w:bookmarkStart w:id="302" w:name="_Toc81570034"/>
      <w:bookmarkStart w:id="303" w:name="_Toc15701"/>
      <w:bookmarkStart w:id="304" w:name="_Toc81570130"/>
      <w:bookmarkStart w:id="305" w:name="_Toc4567"/>
      <w:bookmarkStart w:id="306" w:name="_Toc12016"/>
      <w:r>
        <w:rPr>
          <w:rFonts w:ascii="方正楷体_GBK" w:eastAsia="方正楷体_GBK"/>
          <w:b/>
          <w:sz w:val="32"/>
          <w:szCs w:val="32"/>
        </w:rPr>
        <w:t>第二节  提高组织管理水平</w:t>
      </w:r>
      <w:bookmarkEnd w:id="300"/>
      <w:bookmarkEnd w:id="301"/>
      <w:bookmarkEnd w:id="302"/>
      <w:bookmarkEnd w:id="303"/>
      <w:bookmarkEnd w:id="304"/>
      <w:bookmarkEnd w:id="305"/>
      <w:bookmarkEnd w:id="306"/>
    </w:p>
    <w:p w14:paraId="24FE284B">
      <w:pPr>
        <w:spacing w:line="600" w:lineRule="exact"/>
        <w:ind w:firstLine="602"/>
        <w:rPr>
          <w:rFonts w:eastAsia="方正仿宋_GBK"/>
          <w:sz w:val="32"/>
          <w:szCs w:val="32"/>
          <w:lang w:val="zh-CN"/>
        </w:rPr>
      </w:pPr>
      <w:r>
        <w:rPr>
          <w:rFonts w:eastAsia="方正仿宋_GBK"/>
          <w:sz w:val="32"/>
          <w:szCs w:val="32"/>
          <w:lang w:val="zh-CN"/>
        </w:rPr>
        <w:t>建立统一完善的规划实施目标责任制，明确各部门权责及任务。提高组织领导能力，建立组织有力、协调顺畅、联动高效的协调机制，做好规划实施的统筹协调和宣传发动工作。完善评价考核体系，优化考核指标，建立有效的激励机制，提高管委会员工整体工作积极性。</w:t>
      </w:r>
    </w:p>
    <w:p w14:paraId="64B638A7">
      <w:pPr>
        <w:ind w:firstLine="640" w:firstLineChars="200"/>
        <w:rPr>
          <w:rFonts w:ascii="方正楷体_GBK" w:eastAsia="方正楷体_GBK"/>
          <w:b/>
          <w:sz w:val="32"/>
          <w:szCs w:val="32"/>
        </w:rPr>
      </w:pPr>
      <w:bookmarkStart w:id="307" w:name="_Toc7662"/>
      <w:bookmarkStart w:id="308" w:name="_Toc81570035"/>
      <w:bookmarkStart w:id="309" w:name="_Toc13894"/>
      <w:bookmarkStart w:id="310" w:name="_Toc22306"/>
      <w:bookmarkStart w:id="311" w:name="_Toc81570131"/>
      <w:bookmarkStart w:id="312" w:name="_Toc76716312"/>
      <w:bookmarkStart w:id="313" w:name="_Toc26959"/>
      <w:r>
        <w:rPr>
          <w:rFonts w:ascii="方正楷体_GBK" w:eastAsia="方正楷体_GBK"/>
          <w:b/>
          <w:sz w:val="32"/>
          <w:szCs w:val="32"/>
        </w:rPr>
        <w:t>第三节  健全安全风险管控</w:t>
      </w:r>
      <w:bookmarkEnd w:id="307"/>
      <w:bookmarkEnd w:id="308"/>
      <w:bookmarkEnd w:id="309"/>
      <w:bookmarkEnd w:id="310"/>
      <w:bookmarkEnd w:id="311"/>
      <w:bookmarkEnd w:id="312"/>
      <w:bookmarkEnd w:id="313"/>
    </w:p>
    <w:p w14:paraId="329FA3C9">
      <w:pPr>
        <w:spacing w:line="600" w:lineRule="exact"/>
        <w:ind w:firstLine="602"/>
        <w:rPr>
          <w:rFonts w:eastAsia="方正仿宋_GBK"/>
          <w:sz w:val="32"/>
          <w:szCs w:val="32"/>
          <w:lang w:val="zh-CN"/>
        </w:rPr>
      </w:pPr>
      <w:r>
        <w:rPr>
          <w:rFonts w:eastAsia="方正仿宋_GBK"/>
          <w:sz w:val="32"/>
          <w:szCs w:val="32"/>
          <w:lang w:val="zh-CN"/>
        </w:rPr>
        <w:t>加强管委会各级各部门和入驻企业的风险防控水平，强化事前科学预防、事中精准监管、事后规范处置意识和能力。建立基于态势感知的安全监测预警和评估体系，将安全风险分级管理纳入日常管控，压实园区及企业的责任制，做实预警和应急工作。积极引入第三方安全风险评估和控制机制，综合探索运用市场手段和社会力量，充实安全风险管控模式的专业化。</w:t>
      </w:r>
    </w:p>
    <w:p w14:paraId="56455B3C">
      <w:pPr>
        <w:ind w:firstLine="640" w:firstLineChars="200"/>
        <w:rPr>
          <w:rFonts w:ascii="方正楷体_GBK" w:eastAsia="方正楷体_GBK"/>
          <w:b/>
          <w:sz w:val="32"/>
          <w:szCs w:val="32"/>
        </w:rPr>
      </w:pPr>
      <w:bookmarkStart w:id="314" w:name="_Toc13659"/>
      <w:bookmarkStart w:id="315" w:name="_Toc76716313"/>
      <w:bookmarkStart w:id="316" w:name="_Toc81570132"/>
      <w:bookmarkStart w:id="317" w:name="_Toc4329"/>
      <w:bookmarkStart w:id="318" w:name="_Toc2084"/>
      <w:bookmarkStart w:id="319" w:name="_Toc1271"/>
      <w:bookmarkStart w:id="320" w:name="_Toc81570036"/>
      <w:r>
        <w:rPr>
          <w:rFonts w:hint="eastAsia" w:ascii="方正楷体_GBK" w:eastAsia="方正楷体_GBK"/>
          <w:b/>
          <w:sz w:val="32"/>
          <w:szCs w:val="32"/>
        </w:rPr>
        <w:t>第四节  加强规划监督评估</w:t>
      </w:r>
      <w:bookmarkEnd w:id="314"/>
      <w:bookmarkEnd w:id="315"/>
      <w:bookmarkEnd w:id="316"/>
      <w:bookmarkEnd w:id="317"/>
      <w:bookmarkEnd w:id="318"/>
      <w:bookmarkEnd w:id="319"/>
      <w:bookmarkEnd w:id="320"/>
    </w:p>
    <w:p w14:paraId="2ED97140">
      <w:pPr>
        <w:spacing w:line="600" w:lineRule="exact"/>
        <w:ind w:firstLine="602"/>
        <w:rPr>
          <w:rFonts w:eastAsia="方正仿宋_GBK"/>
          <w:sz w:val="32"/>
          <w:szCs w:val="32"/>
          <w:lang w:val="zh-CN"/>
        </w:rPr>
      </w:pPr>
      <w:r>
        <w:rPr>
          <w:rFonts w:eastAsia="方正仿宋_GBK"/>
          <w:sz w:val="32"/>
          <w:szCs w:val="32"/>
          <w:lang w:val="zh-CN"/>
        </w:rPr>
        <w:t>强化规划的监测评估和跟踪落实，组织开展规划实施年度监测分析、中期评估和总结评估，鼓励开展第三方评估。将规划实施情况作为各有关部门和地方各级领导班子、领导干部考核评价的重要依据。将规划实施情况作为政务信息公开的重要内容，及时公布实施进展，自觉接受人大监督、舆论监督和社会监督。</w:t>
      </w:r>
    </w:p>
    <w:p w14:paraId="4D89D1E4">
      <w:pPr>
        <w:pStyle w:val="2"/>
        <w:sectPr>
          <w:footerReference r:id="rId12" w:type="default"/>
          <w:pgSz w:w="11906" w:h="16838"/>
          <w:pgMar w:top="1758" w:right="1474" w:bottom="1191" w:left="1588" w:header="851" w:footer="992" w:gutter="567"/>
          <w:pgNumType w:fmt="numberInDash" w:start="1"/>
          <w:cols w:space="425" w:num="1"/>
          <w:docGrid w:type="lines" w:linePitch="312" w:charSpace="0"/>
        </w:sectPr>
      </w:pPr>
    </w:p>
    <w:bookmarkEnd w:id="85"/>
    <w:bookmarkEnd w:id="86"/>
    <w:p w14:paraId="4EB7252A">
      <w:pPr>
        <w:widowControl/>
        <w:rPr>
          <w:kern w:val="0"/>
          <w:szCs w:val="21"/>
        </w:rPr>
      </w:pPr>
    </w:p>
    <w:sectPr>
      <w:pgSz w:w="16838" w:h="11906" w:orient="landscape"/>
      <w:pgMar w:top="1361" w:right="907" w:bottom="907" w:left="907" w:header="851" w:footer="992" w:gutter="567"/>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D6C5">
    <w:pPr>
      <w:pStyle w:val="9"/>
      <w:jc w:val="center"/>
      <w:rPr>
        <w:rFonts w:ascii="Times New Roman" w:hAnsi="Times New Roman"/>
        <w:sz w:val="28"/>
        <w:szCs w:val="28"/>
      </w:rPr>
    </w:pPr>
  </w:p>
  <w:p w14:paraId="22E45E29">
    <w:pPr>
      <w:pStyle w:val="9"/>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15F9">
    <w:pPr>
      <w:pStyle w:val="9"/>
    </w:pPr>
  </w:p>
  <w:p w14:paraId="656E0C3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D43A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A3D7">
    <w:pPr>
      <w:pStyle w:val="9"/>
      <w:jc w:val="right"/>
      <w:rPr>
        <w:rFonts w:ascii="宋体" w:hAnsi="宋体"/>
        <w:sz w:val="28"/>
        <w:szCs w:val="28"/>
      </w:rPr>
    </w:pPr>
    <w:r>
      <w:rPr>
        <w:sz w:val="2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14:paraId="06BFDBB6">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w:r>
  </w:p>
  <w:p w14:paraId="39CF81B3">
    <w:pPr>
      <w:pStyle w:val="9"/>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D8E5">
    <w:pPr>
      <w:pStyle w:val="9"/>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p w14:paraId="3012C5D2">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v:textbox>
        </v:shape>
      </w:pict>
    </w:r>
  </w:p>
  <w:p w14:paraId="63FF9898">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D147">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006C">
    <w:pPr>
      <w:pStyle w:val="9"/>
      <w:jc w:val="right"/>
      <w:rPr>
        <w:rFonts w:asciiTheme="minorEastAsia" w:hAnsiTheme="minorEastAsia" w:eastAsiaTheme="minorEastAsia"/>
        <w:sz w:val="28"/>
        <w:szCs w:val="28"/>
      </w:rPr>
    </w:pPr>
    <w:r>
      <w:rPr>
        <w:sz w:val="28"/>
      </w:rP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14:paraId="001CC345">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- 23 -</w:t>
                </w:r>
                <w:r>
                  <w:rPr>
                    <w:rFonts w:hint="eastAsia" w:ascii="宋体" w:hAnsi="宋体" w:cs="宋体"/>
                    <w:sz w:val="28"/>
                    <w:szCs w:val="28"/>
                  </w:rPr>
                  <w:fldChar w:fldCharType="end"/>
                </w:r>
              </w:p>
            </w:txbxContent>
          </v:textbox>
        </v:shape>
      </w:pict>
    </w:r>
  </w:p>
  <w:p w14:paraId="0EBB31AC">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30CE">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7F82">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901BC">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1ZGJjM2I1ODI3NmIyOTMzNTJhN2ViZTNlODE4OWUifQ=="/>
  </w:docVars>
  <w:rsids>
    <w:rsidRoot w:val="000E5141"/>
    <w:rsid w:val="00003C43"/>
    <w:rsid w:val="00005A8D"/>
    <w:rsid w:val="00006446"/>
    <w:rsid w:val="00012FA0"/>
    <w:rsid w:val="00017946"/>
    <w:rsid w:val="000206E3"/>
    <w:rsid w:val="00021666"/>
    <w:rsid w:val="00021C58"/>
    <w:rsid w:val="000220A7"/>
    <w:rsid w:val="00024A06"/>
    <w:rsid w:val="00030CCD"/>
    <w:rsid w:val="00031E5C"/>
    <w:rsid w:val="00036901"/>
    <w:rsid w:val="00044A09"/>
    <w:rsid w:val="000550F6"/>
    <w:rsid w:val="00060234"/>
    <w:rsid w:val="00062A47"/>
    <w:rsid w:val="00064479"/>
    <w:rsid w:val="000729C3"/>
    <w:rsid w:val="00072EBC"/>
    <w:rsid w:val="000750B1"/>
    <w:rsid w:val="00076A44"/>
    <w:rsid w:val="00091660"/>
    <w:rsid w:val="00091760"/>
    <w:rsid w:val="00091C00"/>
    <w:rsid w:val="00091F26"/>
    <w:rsid w:val="00093513"/>
    <w:rsid w:val="00096FD4"/>
    <w:rsid w:val="000A7D24"/>
    <w:rsid w:val="000B070C"/>
    <w:rsid w:val="000B2D88"/>
    <w:rsid w:val="000C306F"/>
    <w:rsid w:val="000C3FAC"/>
    <w:rsid w:val="000D000E"/>
    <w:rsid w:val="000D034F"/>
    <w:rsid w:val="000D3025"/>
    <w:rsid w:val="000D5338"/>
    <w:rsid w:val="000D6D94"/>
    <w:rsid w:val="000E03A3"/>
    <w:rsid w:val="000E0758"/>
    <w:rsid w:val="000E5141"/>
    <w:rsid w:val="000E741B"/>
    <w:rsid w:val="0010030B"/>
    <w:rsid w:val="00103C9B"/>
    <w:rsid w:val="00103EC8"/>
    <w:rsid w:val="001065F6"/>
    <w:rsid w:val="00106CB9"/>
    <w:rsid w:val="00110B9B"/>
    <w:rsid w:val="00113991"/>
    <w:rsid w:val="001214B8"/>
    <w:rsid w:val="00125762"/>
    <w:rsid w:val="00126657"/>
    <w:rsid w:val="001321A6"/>
    <w:rsid w:val="00133146"/>
    <w:rsid w:val="001332C5"/>
    <w:rsid w:val="00136225"/>
    <w:rsid w:val="00137B2D"/>
    <w:rsid w:val="0014122A"/>
    <w:rsid w:val="00145491"/>
    <w:rsid w:val="00146F0E"/>
    <w:rsid w:val="001517C2"/>
    <w:rsid w:val="00154B8E"/>
    <w:rsid w:val="00156777"/>
    <w:rsid w:val="00156E83"/>
    <w:rsid w:val="0016141D"/>
    <w:rsid w:val="001776A6"/>
    <w:rsid w:val="00182FB7"/>
    <w:rsid w:val="001855B9"/>
    <w:rsid w:val="0018599E"/>
    <w:rsid w:val="001934DF"/>
    <w:rsid w:val="00193589"/>
    <w:rsid w:val="001942D4"/>
    <w:rsid w:val="001949E6"/>
    <w:rsid w:val="00194FA8"/>
    <w:rsid w:val="00196AC1"/>
    <w:rsid w:val="001A6611"/>
    <w:rsid w:val="001B4AB8"/>
    <w:rsid w:val="001B7377"/>
    <w:rsid w:val="001C330F"/>
    <w:rsid w:val="001D13CA"/>
    <w:rsid w:val="001D60A1"/>
    <w:rsid w:val="001E0155"/>
    <w:rsid w:val="001E04B6"/>
    <w:rsid w:val="001E0F4E"/>
    <w:rsid w:val="001E3D58"/>
    <w:rsid w:val="001E5BA1"/>
    <w:rsid w:val="001E5C3D"/>
    <w:rsid w:val="001F0ABC"/>
    <w:rsid w:val="001F326C"/>
    <w:rsid w:val="001F4FA2"/>
    <w:rsid w:val="002000C7"/>
    <w:rsid w:val="002034A9"/>
    <w:rsid w:val="00205CB1"/>
    <w:rsid w:val="002073E7"/>
    <w:rsid w:val="00210F9E"/>
    <w:rsid w:val="00211834"/>
    <w:rsid w:val="00212864"/>
    <w:rsid w:val="00213FD2"/>
    <w:rsid w:val="00215949"/>
    <w:rsid w:val="00215AF5"/>
    <w:rsid w:val="00216206"/>
    <w:rsid w:val="00216543"/>
    <w:rsid w:val="002173DD"/>
    <w:rsid w:val="00222290"/>
    <w:rsid w:val="0022240A"/>
    <w:rsid w:val="00227BEF"/>
    <w:rsid w:val="00230407"/>
    <w:rsid w:val="00233018"/>
    <w:rsid w:val="0024260B"/>
    <w:rsid w:val="00247363"/>
    <w:rsid w:val="00250D7C"/>
    <w:rsid w:val="00251A52"/>
    <w:rsid w:val="00253B8F"/>
    <w:rsid w:val="002560A8"/>
    <w:rsid w:val="002562A7"/>
    <w:rsid w:val="00260040"/>
    <w:rsid w:val="0026171F"/>
    <w:rsid w:val="00262767"/>
    <w:rsid w:val="00262CEE"/>
    <w:rsid w:val="00264EA3"/>
    <w:rsid w:val="00266064"/>
    <w:rsid w:val="002676D1"/>
    <w:rsid w:val="00270D11"/>
    <w:rsid w:val="00271448"/>
    <w:rsid w:val="00273023"/>
    <w:rsid w:val="00274069"/>
    <w:rsid w:val="002766CF"/>
    <w:rsid w:val="00277598"/>
    <w:rsid w:val="00281495"/>
    <w:rsid w:val="00292025"/>
    <w:rsid w:val="00295AEE"/>
    <w:rsid w:val="00296209"/>
    <w:rsid w:val="002A30A3"/>
    <w:rsid w:val="002B0E6D"/>
    <w:rsid w:val="002B2351"/>
    <w:rsid w:val="002B239D"/>
    <w:rsid w:val="002B31E7"/>
    <w:rsid w:val="002C1917"/>
    <w:rsid w:val="002C24B1"/>
    <w:rsid w:val="002D75D5"/>
    <w:rsid w:val="002D7B13"/>
    <w:rsid w:val="002E01F8"/>
    <w:rsid w:val="002E2BF2"/>
    <w:rsid w:val="002E39FF"/>
    <w:rsid w:val="002E5F5C"/>
    <w:rsid w:val="002F2E4B"/>
    <w:rsid w:val="002F7CF4"/>
    <w:rsid w:val="00302BD4"/>
    <w:rsid w:val="003052B4"/>
    <w:rsid w:val="00305664"/>
    <w:rsid w:val="00306E2B"/>
    <w:rsid w:val="00310B2E"/>
    <w:rsid w:val="0032538C"/>
    <w:rsid w:val="00325AA5"/>
    <w:rsid w:val="00326B53"/>
    <w:rsid w:val="00327324"/>
    <w:rsid w:val="00327A7A"/>
    <w:rsid w:val="00331F71"/>
    <w:rsid w:val="00333F8F"/>
    <w:rsid w:val="0033560A"/>
    <w:rsid w:val="00337C75"/>
    <w:rsid w:val="00340D51"/>
    <w:rsid w:val="00347E33"/>
    <w:rsid w:val="00353E72"/>
    <w:rsid w:val="0036249C"/>
    <w:rsid w:val="00366A71"/>
    <w:rsid w:val="00370E85"/>
    <w:rsid w:val="00376901"/>
    <w:rsid w:val="003827BE"/>
    <w:rsid w:val="003835E5"/>
    <w:rsid w:val="00387B5C"/>
    <w:rsid w:val="003908DB"/>
    <w:rsid w:val="003928A7"/>
    <w:rsid w:val="00397FF3"/>
    <w:rsid w:val="003A05D9"/>
    <w:rsid w:val="003A5450"/>
    <w:rsid w:val="003A7DAC"/>
    <w:rsid w:val="003A7F45"/>
    <w:rsid w:val="003B0ABF"/>
    <w:rsid w:val="003B56B1"/>
    <w:rsid w:val="003B7B63"/>
    <w:rsid w:val="003C452E"/>
    <w:rsid w:val="003D2C9B"/>
    <w:rsid w:val="003D2E6A"/>
    <w:rsid w:val="003D6345"/>
    <w:rsid w:val="00401B47"/>
    <w:rsid w:val="00404303"/>
    <w:rsid w:val="0041081B"/>
    <w:rsid w:val="00411F18"/>
    <w:rsid w:val="004125E2"/>
    <w:rsid w:val="004139C8"/>
    <w:rsid w:val="00413DE7"/>
    <w:rsid w:val="004259FD"/>
    <w:rsid w:val="004267F2"/>
    <w:rsid w:val="00426A9A"/>
    <w:rsid w:val="00426BF0"/>
    <w:rsid w:val="00427C5C"/>
    <w:rsid w:val="0043521F"/>
    <w:rsid w:val="00435CD8"/>
    <w:rsid w:val="004404DF"/>
    <w:rsid w:val="00446412"/>
    <w:rsid w:val="00453364"/>
    <w:rsid w:val="004573ED"/>
    <w:rsid w:val="004616D9"/>
    <w:rsid w:val="00462A8B"/>
    <w:rsid w:val="00463325"/>
    <w:rsid w:val="004652A2"/>
    <w:rsid w:val="00471124"/>
    <w:rsid w:val="00471DBF"/>
    <w:rsid w:val="0047540E"/>
    <w:rsid w:val="004872F7"/>
    <w:rsid w:val="00487DCC"/>
    <w:rsid w:val="00491B32"/>
    <w:rsid w:val="00492574"/>
    <w:rsid w:val="004A08CF"/>
    <w:rsid w:val="004A19C2"/>
    <w:rsid w:val="004A30F3"/>
    <w:rsid w:val="004A548E"/>
    <w:rsid w:val="004A74EC"/>
    <w:rsid w:val="004A7A39"/>
    <w:rsid w:val="004B4F9C"/>
    <w:rsid w:val="004B732E"/>
    <w:rsid w:val="004C1586"/>
    <w:rsid w:val="004C4C3F"/>
    <w:rsid w:val="004C5558"/>
    <w:rsid w:val="004D0AC0"/>
    <w:rsid w:val="004D2356"/>
    <w:rsid w:val="004D235C"/>
    <w:rsid w:val="004E2405"/>
    <w:rsid w:val="004E5DD8"/>
    <w:rsid w:val="004E643D"/>
    <w:rsid w:val="004F6BD8"/>
    <w:rsid w:val="00505E42"/>
    <w:rsid w:val="00510C63"/>
    <w:rsid w:val="00513CDF"/>
    <w:rsid w:val="00514575"/>
    <w:rsid w:val="00515851"/>
    <w:rsid w:val="00521A97"/>
    <w:rsid w:val="0052227B"/>
    <w:rsid w:val="00523194"/>
    <w:rsid w:val="0052753B"/>
    <w:rsid w:val="0053143D"/>
    <w:rsid w:val="0053165F"/>
    <w:rsid w:val="0053169A"/>
    <w:rsid w:val="00532219"/>
    <w:rsid w:val="00532356"/>
    <w:rsid w:val="00532702"/>
    <w:rsid w:val="00532D86"/>
    <w:rsid w:val="00537DCF"/>
    <w:rsid w:val="00545942"/>
    <w:rsid w:val="00546467"/>
    <w:rsid w:val="00553959"/>
    <w:rsid w:val="00553D97"/>
    <w:rsid w:val="00557890"/>
    <w:rsid w:val="0056175D"/>
    <w:rsid w:val="00567B71"/>
    <w:rsid w:val="00571CDC"/>
    <w:rsid w:val="005734CF"/>
    <w:rsid w:val="00580640"/>
    <w:rsid w:val="005836EF"/>
    <w:rsid w:val="00587360"/>
    <w:rsid w:val="005875A7"/>
    <w:rsid w:val="00594DCC"/>
    <w:rsid w:val="005A2D0E"/>
    <w:rsid w:val="005A5B29"/>
    <w:rsid w:val="005A7D90"/>
    <w:rsid w:val="005B21E3"/>
    <w:rsid w:val="005C497F"/>
    <w:rsid w:val="005C6B09"/>
    <w:rsid w:val="005C70C9"/>
    <w:rsid w:val="005D6280"/>
    <w:rsid w:val="005D663A"/>
    <w:rsid w:val="005E156A"/>
    <w:rsid w:val="005E78EF"/>
    <w:rsid w:val="005F1D1A"/>
    <w:rsid w:val="005F2AEE"/>
    <w:rsid w:val="00602DAF"/>
    <w:rsid w:val="00604463"/>
    <w:rsid w:val="00605C5B"/>
    <w:rsid w:val="00610125"/>
    <w:rsid w:val="006109B9"/>
    <w:rsid w:val="00612225"/>
    <w:rsid w:val="00615273"/>
    <w:rsid w:val="00620AD1"/>
    <w:rsid w:val="00624EC8"/>
    <w:rsid w:val="00627007"/>
    <w:rsid w:val="0063197B"/>
    <w:rsid w:val="00640DC4"/>
    <w:rsid w:val="00642951"/>
    <w:rsid w:val="0064441D"/>
    <w:rsid w:val="00644AB4"/>
    <w:rsid w:val="00650B88"/>
    <w:rsid w:val="006566FF"/>
    <w:rsid w:val="0065732E"/>
    <w:rsid w:val="00660B08"/>
    <w:rsid w:val="00664482"/>
    <w:rsid w:val="00681EC1"/>
    <w:rsid w:val="00683F30"/>
    <w:rsid w:val="00685529"/>
    <w:rsid w:val="0069091D"/>
    <w:rsid w:val="00690927"/>
    <w:rsid w:val="00690A9C"/>
    <w:rsid w:val="00692C4F"/>
    <w:rsid w:val="00693017"/>
    <w:rsid w:val="00693B6E"/>
    <w:rsid w:val="00697D51"/>
    <w:rsid w:val="006B6B91"/>
    <w:rsid w:val="006B720D"/>
    <w:rsid w:val="006C1703"/>
    <w:rsid w:val="006C24CF"/>
    <w:rsid w:val="006C5492"/>
    <w:rsid w:val="006C554E"/>
    <w:rsid w:val="006D217E"/>
    <w:rsid w:val="006D5075"/>
    <w:rsid w:val="006D531F"/>
    <w:rsid w:val="006D5C88"/>
    <w:rsid w:val="006D6114"/>
    <w:rsid w:val="006E1301"/>
    <w:rsid w:val="006E232A"/>
    <w:rsid w:val="006E33F7"/>
    <w:rsid w:val="006E36AB"/>
    <w:rsid w:val="006E449A"/>
    <w:rsid w:val="006E4988"/>
    <w:rsid w:val="006F298A"/>
    <w:rsid w:val="006F3EC6"/>
    <w:rsid w:val="00702F33"/>
    <w:rsid w:val="007033E2"/>
    <w:rsid w:val="0071707B"/>
    <w:rsid w:val="00721103"/>
    <w:rsid w:val="00722F78"/>
    <w:rsid w:val="0072779E"/>
    <w:rsid w:val="0073321F"/>
    <w:rsid w:val="0075288D"/>
    <w:rsid w:val="00754BFF"/>
    <w:rsid w:val="00764890"/>
    <w:rsid w:val="00765207"/>
    <w:rsid w:val="00770643"/>
    <w:rsid w:val="007710D1"/>
    <w:rsid w:val="00771171"/>
    <w:rsid w:val="007738A1"/>
    <w:rsid w:val="00774AB5"/>
    <w:rsid w:val="0077510B"/>
    <w:rsid w:val="00775112"/>
    <w:rsid w:val="00776F10"/>
    <w:rsid w:val="00781A25"/>
    <w:rsid w:val="0078615C"/>
    <w:rsid w:val="00792476"/>
    <w:rsid w:val="007A0980"/>
    <w:rsid w:val="007A2AC4"/>
    <w:rsid w:val="007A53AF"/>
    <w:rsid w:val="007A6075"/>
    <w:rsid w:val="007A6A8B"/>
    <w:rsid w:val="007B079D"/>
    <w:rsid w:val="007C0641"/>
    <w:rsid w:val="007C35D1"/>
    <w:rsid w:val="007C67BC"/>
    <w:rsid w:val="007C6B6A"/>
    <w:rsid w:val="007D2371"/>
    <w:rsid w:val="007D7899"/>
    <w:rsid w:val="007E2A10"/>
    <w:rsid w:val="007E2F74"/>
    <w:rsid w:val="007E6324"/>
    <w:rsid w:val="007E6808"/>
    <w:rsid w:val="007F191D"/>
    <w:rsid w:val="00800D31"/>
    <w:rsid w:val="00802952"/>
    <w:rsid w:val="00804546"/>
    <w:rsid w:val="00805CDE"/>
    <w:rsid w:val="008075C3"/>
    <w:rsid w:val="00811BB9"/>
    <w:rsid w:val="00813FA1"/>
    <w:rsid w:val="00814848"/>
    <w:rsid w:val="00815772"/>
    <w:rsid w:val="008206D7"/>
    <w:rsid w:val="0082377A"/>
    <w:rsid w:val="008274AE"/>
    <w:rsid w:val="00831084"/>
    <w:rsid w:val="00831C4A"/>
    <w:rsid w:val="00833FA7"/>
    <w:rsid w:val="008365B8"/>
    <w:rsid w:val="00840CD3"/>
    <w:rsid w:val="00845737"/>
    <w:rsid w:val="008522C9"/>
    <w:rsid w:val="008533B1"/>
    <w:rsid w:val="00854AD5"/>
    <w:rsid w:val="00857044"/>
    <w:rsid w:val="008610A1"/>
    <w:rsid w:val="00870445"/>
    <w:rsid w:val="008766F4"/>
    <w:rsid w:val="00886BD8"/>
    <w:rsid w:val="00887606"/>
    <w:rsid w:val="00887AD3"/>
    <w:rsid w:val="00887B83"/>
    <w:rsid w:val="0089001C"/>
    <w:rsid w:val="00892DDC"/>
    <w:rsid w:val="0089312F"/>
    <w:rsid w:val="00896906"/>
    <w:rsid w:val="008A2497"/>
    <w:rsid w:val="008A73E0"/>
    <w:rsid w:val="008B0619"/>
    <w:rsid w:val="008B180E"/>
    <w:rsid w:val="008B4590"/>
    <w:rsid w:val="008B4B0A"/>
    <w:rsid w:val="008B63D9"/>
    <w:rsid w:val="008B763B"/>
    <w:rsid w:val="008C230A"/>
    <w:rsid w:val="008C24FB"/>
    <w:rsid w:val="008C4F9D"/>
    <w:rsid w:val="008C53D5"/>
    <w:rsid w:val="008C6178"/>
    <w:rsid w:val="008C7523"/>
    <w:rsid w:val="008D16BE"/>
    <w:rsid w:val="008D346C"/>
    <w:rsid w:val="008D37C5"/>
    <w:rsid w:val="008D3F69"/>
    <w:rsid w:val="008D4ACE"/>
    <w:rsid w:val="008E037A"/>
    <w:rsid w:val="008E548D"/>
    <w:rsid w:val="008E7093"/>
    <w:rsid w:val="008F2DDE"/>
    <w:rsid w:val="008F499A"/>
    <w:rsid w:val="00905AE6"/>
    <w:rsid w:val="00910E06"/>
    <w:rsid w:val="00913ADC"/>
    <w:rsid w:val="009162A9"/>
    <w:rsid w:val="009219F0"/>
    <w:rsid w:val="009243BB"/>
    <w:rsid w:val="00926A64"/>
    <w:rsid w:val="00927F05"/>
    <w:rsid w:val="00930607"/>
    <w:rsid w:val="009318E4"/>
    <w:rsid w:val="00932C85"/>
    <w:rsid w:val="00934F4B"/>
    <w:rsid w:val="00937C14"/>
    <w:rsid w:val="009422C9"/>
    <w:rsid w:val="00946609"/>
    <w:rsid w:val="00946FAA"/>
    <w:rsid w:val="00952F08"/>
    <w:rsid w:val="009564A3"/>
    <w:rsid w:val="00961120"/>
    <w:rsid w:val="00963DFD"/>
    <w:rsid w:val="00964063"/>
    <w:rsid w:val="00964566"/>
    <w:rsid w:val="00966877"/>
    <w:rsid w:val="009720F9"/>
    <w:rsid w:val="009721EA"/>
    <w:rsid w:val="0097426E"/>
    <w:rsid w:val="00977833"/>
    <w:rsid w:val="00982D5F"/>
    <w:rsid w:val="00983EAE"/>
    <w:rsid w:val="0098495D"/>
    <w:rsid w:val="00984FD1"/>
    <w:rsid w:val="009919F5"/>
    <w:rsid w:val="009A1E80"/>
    <w:rsid w:val="009A368E"/>
    <w:rsid w:val="009A691C"/>
    <w:rsid w:val="009B1308"/>
    <w:rsid w:val="009B3293"/>
    <w:rsid w:val="009C194F"/>
    <w:rsid w:val="009C2787"/>
    <w:rsid w:val="009C55BB"/>
    <w:rsid w:val="009C62DE"/>
    <w:rsid w:val="009D20DC"/>
    <w:rsid w:val="009D4168"/>
    <w:rsid w:val="009D44D6"/>
    <w:rsid w:val="009D63F4"/>
    <w:rsid w:val="009E0B89"/>
    <w:rsid w:val="009E45EF"/>
    <w:rsid w:val="009E7030"/>
    <w:rsid w:val="009F111F"/>
    <w:rsid w:val="009F1651"/>
    <w:rsid w:val="009F391A"/>
    <w:rsid w:val="009F3CC1"/>
    <w:rsid w:val="009F7E70"/>
    <w:rsid w:val="00A015CD"/>
    <w:rsid w:val="00A04747"/>
    <w:rsid w:val="00A1579A"/>
    <w:rsid w:val="00A213BA"/>
    <w:rsid w:val="00A2271E"/>
    <w:rsid w:val="00A24FA6"/>
    <w:rsid w:val="00A27A3F"/>
    <w:rsid w:val="00A31F58"/>
    <w:rsid w:val="00A3365D"/>
    <w:rsid w:val="00A36634"/>
    <w:rsid w:val="00A42A81"/>
    <w:rsid w:val="00A45149"/>
    <w:rsid w:val="00A4693D"/>
    <w:rsid w:val="00A46E41"/>
    <w:rsid w:val="00A55577"/>
    <w:rsid w:val="00A56D9A"/>
    <w:rsid w:val="00A6264F"/>
    <w:rsid w:val="00A63416"/>
    <w:rsid w:val="00A668C5"/>
    <w:rsid w:val="00A66D8D"/>
    <w:rsid w:val="00A71DD6"/>
    <w:rsid w:val="00A7582C"/>
    <w:rsid w:val="00A75DE1"/>
    <w:rsid w:val="00A825B5"/>
    <w:rsid w:val="00A826DA"/>
    <w:rsid w:val="00A8649D"/>
    <w:rsid w:val="00A87B80"/>
    <w:rsid w:val="00A922CB"/>
    <w:rsid w:val="00A9251F"/>
    <w:rsid w:val="00A945FB"/>
    <w:rsid w:val="00A976A0"/>
    <w:rsid w:val="00AA32D3"/>
    <w:rsid w:val="00AA4D74"/>
    <w:rsid w:val="00AA522C"/>
    <w:rsid w:val="00AA58B0"/>
    <w:rsid w:val="00AA6821"/>
    <w:rsid w:val="00AB3420"/>
    <w:rsid w:val="00AB4283"/>
    <w:rsid w:val="00AC00DC"/>
    <w:rsid w:val="00AC0306"/>
    <w:rsid w:val="00AC1F40"/>
    <w:rsid w:val="00AC2D00"/>
    <w:rsid w:val="00AD1CA8"/>
    <w:rsid w:val="00AD475A"/>
    <w:rsid w:val="00AE2294"/>
    <w:rsid w:val="00AE4957"/>
    <w:rsid w:val="00AE51F0"/>
    <w:rsid w:val="00AE5BBF"/>
    <w:rsid w:val="00AE7304"/>
    <w:rsid w:val="00AE7E23"/>
    <w:rsid w:val="00AF0314"/>
    <w:rsid w:val="00AF43BB"/>
    <w:rsid w:val="00AF7241"/>
    <w:rsid w:val="00AF7B86"/>
    <w:rsid w:val="00B00FA2"/>
    <w:rsid w:val="00B06F5F"/>
    <w:rsid w:val="00B06FE0"/>
    <w:rsid w:val="00B10F79"/>
    <w:rsid w:val="00B1139E"/>
    <w:rsid w:val="00B1261D"/>
    <w:rsid w:val="00B1301B"/>
    <w:rsid w:val="00B17E7E"/>
    <w:rsid w:val="00B24A22"/>
    <w:rsid w:val="00B259A0"/>
    <w:rsid w:val="00B3329E"/>
    <w:rsid w:val="00B3675B"/>
    <w:rsid w:val="00B36A62"/>
    <w:rsid w:val="00B420E2"/>
    <w:rsid w:val="00B437F5"/>
    <w:rsid w:val="00B47CC5"/>
    <w:rsid w:val="00B507E3"/>
    <w:rsid w:val="00B517A9"/>
    <w:rsid w:val="00B5359E"/>
    <w:rsid w:val="00B53DDE"/>
    <w:rsid w:val="00B6292C"/>
    <w:rsid w:val="00B645C8"/>
    <w:rsid w:val="00B70ED0"/>
    <w:rsid w:val="00B73223"/>
    <w:rsid w:val="00B7476E"/>
    <w:rsid w:val="00B80A77"/>
    <w:rsid w:val="00B84E71"/>
    <w:rsid w:val="00B909DA"/>
    <w:rsid w:val="00B91B44"/>
    <w:rsid w:val="00B95CB5"/>
    <w:rsid w:val="00BA1D85"/>
    <w:rsid w:val="00BA30C8"/>
    <w:rsid w:val="00BB08E8"/>
    <w:rsid w:val="00BB10A6"/>
    <w:rsid w:val="00BB4E5C"/>
    <w:rsid w:val="00BC481E"/>
    <w:rsid w:val="00BC79CD"/>
    <w:rsid w:val="00BD1926"/>
    <w:rsid w:val="00BD3BCC"/>
    <w:rsid w:val="00BE4608"/>
    <w:rsid w:val="00BF1EA0"/>
    <w:rsid w:val="00BF48B5"/>
    <w:rsid w:val="00BF52FD"/>
    <w:rsid w:val="00BF57C2"/>
    <w:rsid w:val="00BF5C5E"/>
    <w:rsid w:val="00C03597"/>
    <w:rsid w:val="00C03F5A"/>
    <w:rsid w:val="00C06B4E"/>
    <w:rsid w:val="00C07491"/>
    <w:rsid w:val="00C07F5C"/>
    <w:rsid w:val="00C10772"/>
    <w:rsid w:val="00C127E5"/>
    <w:rsid w:val="00C171D1"/>
    <w:rsid w:val="00C1760D"/>
    <w:rsid w:val="00C209F7"/>
    <w:rsid w:val="00C237F2"/>
    <w:rsid w:val="00C25E84"/>
    <w:rsid w:val="00C315E3"/>
    <w:rsid w:val="00C33F65"/>
    <w:rsid w:val="00C363D4"/>
    <w:rsid w:val="00C3786F"/>
    <w:rsid w:val="00C4036D"/>
    <w:rsid w:val="00C41288"/>
    <w:rsid w:val="00C41D07"/>
    <w:rsid w:val="00C4591D"/>
    <w:rsid w:val="00C50897"/>
    <w:rsid w:val="00C50BB6"/>
    <w:rsid w:val="00C55EA0"/>
    <w:rsid w:val="00C56337"/>
    <w:rsid w:val="00C573EF"/>
    <w:rsid w:val="00C57B5A"/>
    <w:rsid w:val="00C62E03"/>
    <w:rsid w:val="00C64C1B"/>
    <w:rsid w:val="00C657CC"/>
    <w:rsid w:val="00C717E4"/>
    <w:rsid w:val="00C74CBE"/>
    <w:rsid w:val="00C75DD9"/>
    <w:rsid w:val="00C76055"/>
    <w:rsid w:val="00C809BC"/>
    <w:rsid w:val="00C80CFD"/>
    <w:rsid w:val="00C84272"/>
    <w:rsid w:val="00C848F3"/>
    <w:rsid w:val="00C853CF"/>
    <w:rsid w:val="00C8798D"/>
    <w:rsid w:val="00C92255"/>
    <w:rsid w:val="00C92BDE"/>
    <w:rsid w:val="00CA316F"/>
    <w:rsid w:val="00CA4257"/>
    <w:rsid w:val="00CA4713"/>
    <w:rsid w:val="00CA48DB"/>
    <w:rsid w:val="00CA5C7F"/>
    <w:rsid w:val="00CA7204"/>
    <w:rsid w:val="00CB0664"/>
    <w:rsid w:val="00CB0DD8"/>
    <w:rsid w:val="00CB0EEC"/>
    <w:rsid w:val="00CB28E9"/>
    <w:rsid w:val="00CB6310"/>
    <w:rsid w:val="00CC16EA"/>
    <w:rsid w:val="00CC5112"/>
    <w:rsid w:val="00CD09A7"/>
    <w:rsid w:val="00CD378A"/>
    <w:rsid w:val="00CD3805"/>
    <w:rsid w:val="00CD743A"/>
    <w:rsid w:val="00CD7681"/>
    <w:rsid w:val="00CE2DC2"/>
    <w:rsid w:val="00CE5B84"/>
    <w:rsid w:val="00CF288F"/>
    <w:rsid w:val="00CF5A23"/>
    <w:rsid w:val="00D035F2"/>
    <w:rsid w:val="00D072E0"/>
    <w:rsid w:val="00D1249E"/>
    <w:rsid w:val="00D15D0A"/>
    <w:rsid w:val="00D21B24"/>
    <w:rsid w:val="00D355C6"/>
    <w:rsid w:val="00D44C8C"/>
    <w:rsid w:val="00D451E4"/>
    <w:rsid w:val="00D54978"/>
    <w:rsid w:val="00D570D9"/>
    <w:rsid w:val="00D57ABE"/>
    <w:rsid w:val="00D60A98"/>
    <w:rsid w:val="00D61FC7"/>
    <w:rsid w:val="00D6399B"/>
    <w:rsid w:val="00D73431"/>
    <w:rsid w:val="00D76856"/>
    <w:rsid w:val="00D76E4B"/>
    <w:rsid w:val="00D77AF6"/>
    <w:rsid w:val="00D84426"/>
    <w:rsid w:val="00D86D9E"/>
    <w:rsid w:val="00D9058E"/>
    <w:rsid w:val="00D917AF"/>
    <w:rsid w:val="00D920E3"/>
    <w:rsid w:val="00D97998"/>
    <w:rsid w:val="00D97B29"/>
    <w:rsid w:val="00DA21DA"/>
    <w:rsid w:val="00DA2698"/>
    <w:rsid w:val="00DB28F0"/>
    <w:rsid w:val="00DB2E67"/>
    <w:rsid w:val="00DB4131"/>
    <w:rsid w:val="00DB60E9"/>
    <w:rsid w:val="00DC19AE"/>
    <w:rsid w:val="00DC770C"/>
    <w:rsid w:val="00DD3A65"/>
    <w:rsid w:val="00DD60BB"/>
    <w:rsid w:val="00DE5DE2"/>
    <w:rsid w:val="00DE749C"/>
    <w:rsid w:val="00DF1E6E"/>
    <w:rsid w:val="00DF1FED"/>
    <w:rsid w:val="00DF226A"/>
    <w:rsid w:val="00DF7943"/>
    <w:rsid w:val="00E112D7"/>
    <w:rsid w:val="00E11BC8"/>
    <w:rsid w:val="00E21094"/>
    <w:rsid w:val="00E230F0"/>
    <w:rsid w:val="00E23373"/>
    <w:rsid w:val="00E23731"/>
    <w:rsid w:val="00E254F9"/>
    <w:rsid w:val="00E31D27"/>
    <w:rsid w:val="00E3301B"/>
    <w:rsid w:val="00E3749F"/>
    <w:rsid w:val="00E52558"/>
    <w:rsid w:val="00E547B3"/>
    <w:rsid w:val="00E5496D"/>
    <w:rsid w:val="00E55BCA"/>
    <w:rsid w:val="00E6210D"/>
    <w:rsid w:val="00E762B6"/>
    <w:rsid w:val="00E775F2"/>
    <w:rsid w:val="00E77B19"/>
    <w:rsid w:val="00E80B45"/>
    <w:rsid w:val="00E813C8"/>
    <w:rsid w:val="00E815BC"/>
    <w:rsid w:val="00E81BEB"/>
    <w:rsid w:val="00E82385"/>
    <w:rsid w:val="00E85AA6"/>
    <w:rsid w:val="00E9225E"/>
    <w:rsid w:val="00E94864"/>
    <w:rsid w:val="00E96863"/>
    <w:rsid w:val="00EA5DEB"/>
    <w:rsid w:val="00EB3E64"/>
    <w:rsid w:val="00EB6B44"/>
    <w:rsid w:val="00EB7103"/>
    <w:rsid w:val="00EB7FA7"/>
    <w:rsid w:val="00EC02B8"/>
    <w:rsid w:val="00EC0D5C"/>
    <w:rsid w:val="00EC3DFB"/>
    <w:rsid w:val="00ED0895"/>
    <w:rsid w:val="00ED111C"/>
    <w:rsid w:val="00ED29F0"/>
    <w:rsid w:val="00EE053A"/>
    <w:rsid w:val="00EE1B09"/>
    <w:rsid w:val="00EE64A2"/>
    <w:rsid w:val="00EF21E2"/>
    <w:rsid w:val="00EF29E7"/>
    <w:rsid w:val="00EF358A"/>
    <w:rsid w:val="00EF3E9A"/>
    <w:rsid w:val="00EF5696"/>
    <w:rsid w:val="00EF78A0"/>
    <w:rsid w:val="00EF7ED9"/>
    <w:rsid w:val="00F02539"/>
    <w:rsid w:val="00F10155"/>
    <w:rsid w:val="00F1465C"/>
    <w:rsid w:val="00F164A3"/>
    <w:rsid w:val="00F20AFF"/>
    <w:rsid w:val="00F2488B"/>
    <w:rsid w:val="00F26D45"/>
    <w:rsid w:val="00F2717D"/>
    <w:rsid w:val="00F30FB4"/>
    <w:rsid w:val="00F33D0A"/>
    <w:rsid w:val="00F36603"/>
    <w:rsid w:val="00F51B9E"/>
    <w:rsid w:val="00F55CE4"/>
    <w:rsid w:val="00F56615"/>
    <w:rsid w:val="00F61CBB"/>
    <w:rsid w:val="00F64CF2"/>
    <w:rsid w:val="00F701C6"/>
    <w:rsid w:val="00F71D2D"/>
    <w:rsid w:val="00F760CF"/>
    <w:rsid w:val="00F769BD"/>
    <w:rsid w:val="00F77116"/>
    <w:rsid w:val="00F84A34"/>
    <w:rsid w:val="00F907D3"/>
    <w:rsid w:val="00F90AC6"/>
    <w:rsid w:val="00F90AC8"/>
    <w:rsid w:val="00F925C1"/>
    <w:rsid w:val="00F9561C"/>
    <w:rsid w:val="00FA3D1E"/>
    <w:rsid w:val="00FC5C95"/>
    <w:rsid w:val="00FC6638"/>
    <w:rsid w:val="00FC782D"/>
    <w:rsid w:val="00FC7B6D"/>
    <w:rsid w:val="00FD4BF6"/>
    <w:rsid w:val="00FD5164"/>
    <w:rsid w:val="00FD5961"/>
    <w:rsid w:val="00FE1636"/>
    <w:rsid w:val="00FE305A"/>
    <w:rsid w:val="00FF346E"/>
    <w:rsid w:val="043D38DF"/>
    <w:rsid w:val="18EF037C"/>
    <w:rsid w:val="18F34B94"/>
    <w:rsid w:val="25636EDC"/>
    <w:rsid w:val="39700927"/>
    <w:rsid w:val="43C66073"/>
    <w:rsid w:val="49895514"/>
    <w:rsid w:val="4B08477A"/>
    <w:rsid w:val="4C956C95"/>
    <w:rsid w:val="52B54768"/>
    <w:rsid w:val="581C4CCD"/>
    <w:rsid w:val="5A7D6EA9"/>
    <w:rsid w:val="5CC46537"/>
    <w:rsid w:val="5D0E5AB8"/>
    <w:rsid w:val="66DB71C4"/>
    <w:rsid w:val="6A214474"/>
    <w:rsid w:val="7856732A"/>
    <w:rsid w:val="7ACC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9"/>
    <w:qFormat/>
    <w:uiPriority w:val="9"/>
    <w:pPr>
      <w:keepNext/>
      <w:keepLines/>
      <w:spacing w:before="120" w:after="120" w:line="360" w:lineRule="auto"/>
      <w:jc w:val="center"/>
      <w:outlineLvl w:val="0"/>
    </w:pPr>
    <w:rPr>
      <w:rFonts w:eastAsia="黑体"/>
      <w:bCs/>
      <w:kern w:val="44"/>
      <w:sz w:val="32"/>
      <w:szCs w:val="44"/>
      <w:lang w:val="zh-CN"/>
    </w:rPr>
  </w:style>
  <w:style w:type="paragraph" w:styleId="4">
    <w:name w:val="heading 2"/>
    <w:basedOn w:val="1"/>
    <w:next w:val="1"/>
    <w:link w:val="20"/>
    <w:qFormat/>
    <w:uiPriority w:val="9"/>
    <w:pPr>
      <w:keepNext/>
      <w:keepLines/>
      <w:spacing w:before="260" w:after="260" w:line="416" w:lineRule="auto"/>
      <w:outlineLvl w:val="1"/>
    </w:pPr>
    <w:rPr>
      <w:rFonts w:ascii="Calibri Light" w:hAnsi="Calibri Light"/>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pPr>
      <w:spacing w:after="120"/>
    </w:pPr>
    <w:rPr>
      <w:rFonts w:ascii="Calibri" w:hAnsi="Calibri"/>
    </w:r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annotation text"/>
    <w:basedOn w:val="1"/>
    <w:link w:val="22"/>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Calibri" w:hAnsi="Calibri"/>
      <w:kern w:val="0"/>
      <w:sz w:val="22"/>
    </w:rPr>
  </w:style>
  <w:style w:type="paragraph" w:styleId="8">
    <w:name w:val="Balloon Text"/>
    <w:basedOn w:val="1"/>
    <w:link w:val="23"/>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rFonts w:ascii="Calibri" w:hAnsi="Calibri"/>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Calibri" w:hAnsi="Calibri"/>
      <w:kern w:val="0"/>
      <w:sz w:val="22"/>
    </w:rPr>
  </w:style>
  <w:style w:type="paragraph" w:styleId="12">
    <w:name w:val="toc 2"/>
    <w:basedOn w:val="1"/>
    <w:next w:val="1"/>
    <w:unhideWhenUsed/>
    <w:qFormat/>
    <w:uiPriority w:val="39"/>
    <w:pPr>
      <w:widowControl/>
      <w:spacing w:after="100" w:line="259" w:lineRule="auto"/>
      <w:ind w:firstLine="200" w:firstLineChars="200"/>
      <w:jc w:val="left"/>
    </w:pPr>
    <w:rPr>
      <w:rFonts w:ascii="Calibri" w:hAnsi="Calibri"/>
      <w:kern w:val="0"/>
      <w:sz w:val="22"/>
    </w:rPr>
  </w:style>
  <w:style w:type="paragraph" w:styleId="13">
    <w:name w:val="annotation subject"/>
    <w:basedOn w:val="6"/>
    <w:next w:val="6"/>
    <w:link w:val="26"/>
    <w:unhideWhenUsed/>
    <w:qFormat/>
    <w:uiPriority w:val="99"/>
    <w:rPr>
      <w:b/>
      <w:bCs/>
    </w:rPr>
  </w:style>
  <w:style w:type="character" w:styleId="16">
    <w:name w:val="Emphasis"/>
    <w:basedOn w:val="15"/>
    <w:qFormat/>
    <w:uiPriority w:val="20"/>
    <w:rPr>
      <w:i/>
    </w:rPr>
  </w:style>
  <w:style w:type="character" w:styleId="17">
    <w:name w:val="Hyperlink"/>
    <w:unhideWhenUsed/>
    <w:qFormat/>
    <w:uiPriority w:val="99"/>
    <w:rPr>
      <w:color w:val="0563C1"/>
      <w:u w:val="single"/>
    </w:rPr>
  </w:style>
  <w:style w:type="character" w:styleId="18">
    <w:name w:val="annotation reference"/>
    <w:unhideWhenUsed/>
    <w:qFormat/>
    <w:uiPriority w:val="99"/>
    <w:rPr>
      <w:sz w:val="21"/>
      <w:szCs w:val="21"/>
    </w:rPr>
  </w:style>
  <w:style w:type="character" w:customStyle="1" w:styleId="19">
    <w:name w:val="标题 1 Char"/>
    <w:basedOn w:val="15"/>
    <w:link w:val="3"/>
    <w:qFormat/>
    <w:uiPriority w:val="9"/>
    <w:rPr>
      <w:rFonts w:ascii="Times New Roman" w:hAnsi="Times New Roman" w:eastAsia="黑体" w:cs="Times New Roman"/>
      <w:bCs/>
      <w:kern w:val="44"/>
      <w:sz w:val="32"/>
      <w:szCs w:val="44"/>
      <w:lang w:val="zh-CN"/>
    </w:rPr>
  </w:style>
  <w:style w:type="character" w:customStyle="1" w:styleId="20">
    <w:name w:val="标题 2 Char"/>
    <w:basedOn w:val="15"/>
    <w:link w:val="4"/>
    <w:qFormat/>
    <w:uiPriority w:val="9"/>
    <w:rPr>
      <w:rFonts w:ascii="Calibri Light" w:hAnsi="Calibri Light" w:eastAsia="宋体" w:cs="Times New Roman"/>
      <w:b/>
      <w:bCs/>
      <w:sz w:val="32"/>
      <w:szCs w:val="32"/>
    </w:rPr>
  </w:style>
  <w:style w:type="character" w:customStyle="1" w:styleId="21">
    <w:name w:val="正文文本 Char"/>
    <w:basedOn w:val="15"/>
    <w:link w:val="2"/>
    <w:qFormat/>
    <w:uiPriority w:val="99"/>
    <w:rPr>
      <w:rFonts w:ascii="Calibri" w:hAnsi="Calibri" w:eastAsia="宋体" w:cs="Times New Roman"/>
    </w:rPr>
  </w:style>
  <w:style w:type="character" w:customStyle="1" w:styleId="22">
    <w:name w:val="批注文字 Char"/>
    <w:basedOn w:val="15"/>
    <w:link w:val="6"/>
    <w:qFormat/>
    <w:uiPriority w:val="99"/>
    <w:rPr>
      <w:rFonts w:ascii="Times New Roman" w:hAnsi="Times New Roman" w:eastAsia="宋体" w:cs="Times New Roman"/>
    </w:rPr>
  </w:style>
  <w:style w:type="character" w:customStyle="1" w:styleId="23">
    <w:name w:val="批注框文本 Char"/>
    <w:basedOn w:val="15"/>
    <w:link w:val="8"/>
    <w:qFormat/>
    <w:uiPriority w:val="99"/>
    <w:rPr>
      <w:rFonts w:ascii="Times New Roman" w:hAnsi="Times New Roman" w:eastAsia="宋体" w:cs="Times New Roman"/>
      <w:sz w:val="18"/>
      <w:szCs w:val="18"/>
    </w:rPr>
  </w:style>
  <w:style w:type="character" w:customStyle="1" w:styleId="24">
    <w:name w:val="页脚 Char"/>
    <w:basedOn w:val="15"/>
    <w:link w:val="9"/>
    <w:qFormat/>
    <w:uiPriority w:val="99"/>
    <w:rPr>
      <w:rFonts w:ascii="Calibri" w:hAnsi="Calibri" w:eastAsia="宋体" w:cs="Times New Roman"/>
      <w:sz w:val="18"/>
      <w:szCs w:val="18"/>
    </w:rPr>
  </w:style>
  <w:style w:type="character" w:customStyle="1" w:styleId="25">
    <w:name w:val="页眉 Char"/>
    <w:basedOn w:val="15"/>
    <w:link w:val="10"/>
    <w:qFormat/>
    <w:uiPriority w:val="99"/>
    <w:rPr>
      <w:rFonts w:ascii="Times New Roman" w:hAnsi="Times New Roman" w:eastAsia="宋体" w:cs="Times New Roman"/>
      <w:sz w:val="18"/>
      <w:szCs w:val="18"/>
    </w:rPr>
  </w:style>
  <w:style w:type="character" w:customStyle="1" w:styleId="26">
    <w:name w:val="批注主题 Char"/>
    <w:basedOn w:val="22"/>
    <w:link w:val="13"/>
    <w:qFormat/>
    <w:uiPriority w:val="99"/>
    <w:rPr>
      <w:rFonts w:ascii="Times New Roman" w:hAnsi="Times New Roman" w:eastAsia="宋体" w:cs="Times New Roman"/>
      <w:b/>
      <w:bCs/>
    </w:rPr>
  </w:style>
  <w:style w:type="character" w:customStyle="1" w:styleId="27">
    <w:name w:val="页脚 Char1"/>
    <w:semiHidden/>
    <w:qFormat/>
    <w:uiPriority w:val="99"/>
    <w:rPr>
      <w:rFonts w:ascii="Times New Roman" w:hAnsi="Times New Roman" w:eastAsia="宋体" w:cs="Times New Roman"/>
      <w:sz w:val="18"/>
      <w:szCs w:val="18"/>
    </w:rPr>
  </w:style>
  <w:style w:type="character" w:customStyle="1" w:styleId="28">
    <w:name w:val="正文文本 Char1"/>
    <w:semiHidden/>
    <w:qFormat/>
    <w:uiPriority w:val="99"/>
    <w:rPr>
      <w:rFonts w:ascii="Times New Roman" w:hAnsi="Times New Roman" w:eastAsia="宋体" w:cs="Times New Roman"/>
    </w:rPr>
  </w:style>
  <w:style w:type="paragraph" w:styleId="29">
    <w:name w:val="List Paragraph"/>
    <w:basedOn w:val="1"/>
    <w:qFormat/>
    <w:uiPriority w:val="99"/>
    <w:pPr>
      <w:ind w:firstLine="420" w:firstLineChars="200"/>
    </w:pPr>
    <w:rPr>
      <w:rFonts w:ascii="Calibri" w:hAnsi="Calibri"/>
    </w:rPr>
  </w:style>
  <w:style w:type="paragraph" w:customStyle="1" w:styleId="30">
    <w:name w:val="Body Text First Indent 21"/>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customStyle="1" w:styleId="31">
    <w:name w:val="TOC 标题1"/>
    <w:basedOn w:val="3"/>
    <w:next w:val="1"/>
    <w:unhideWhenUsed/>
    <w:qFormat/>
    <w:uiPriority w:val="39"/>
    <w:pPr>
      <w:widowControl/>
      <w:spacing w:before="240" w:after="0" w:line="259" w:lineRule="auto"/>
      <w:jc w:val="left"/>
      <w:outlineLvl w:val="9"/>
    </w:pPr>
    <w:rPr>
      <w:rFonts w:ascii="Calibri Light" w:hAnsi="Calibri Light" w:eastAsia="宋体"/>
      <w:bCs w:val="0"/>
      <w:color w:val="2E75B5"/>
      <w:kern w:val="0"/>
      <w:szCs w:val="32"/>
      <w:lang w:val="en-US"/>
    </w:rPr>
  </w:style>
  <w:style w:type="paragraph" w:customStyle="1" w:styleId="3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33">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5" w:themeColor="accent1" w:themeShade="BF"/>
      <w:kern w:val="0"/>
      <w:szCs w:val="32"/>
      <w:lang w:val="en-US"/>
    </w:rPr>
  </w:style>
  <w:style w:type="paragraph" w:customStyle="1" w:styleId="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p0"/>
    <w:basedOn w:val="1"/>
    <w:qFormat/>
    <w:uiPriority w:val="0"/>
    <w:pPr>
      <w:widowControl/>
    </w:pPr>
    <w:rPr>
      <w:kern w:val="0"/>
      <w:szCs w:val="21"/>
    </w:rPr>
  </w:style>
  <w:style w:type="paragraph" w:customStyle="1" w:styleId="36">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2E75B5" w:themeColor="accent1" w:themeShade="BF"/>
      <w:kern w:val="0"/>
      <w:sz w:val="28"/>
      <w:szCs w:val="28"/>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20522</Words>
  <Characters>20937</Characters>
  <Lines>170</Lines>
  <Paragraphs>48</Paragraphs>
  <TotalTime>2</TotalTime>
  <ScaleCrop>false</ScaleCrop>
  <LinksUpToDate>false</LinksUpToDate>
  <CharactersWithSpaces>21233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2021-12-01T01:22:00Z</dcterms:created>
  <dc:creator>zj</dc:creator>
  <cp:lastModifiedBy>Administrator</cp:lastModifiedBy>
  <cp:lastPrinted>2021-12-23T08:55:00Z</cp:lastPrinted>
  <dcterms:modified xsi:type="dcterms:W3CDTF">2024-12-26T08:05:39Z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C33EB41C79AB4A43A7CDE06D1BA7DE00_13</vt:lpwstr>
  </property>
</Properties>
</file>