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曲靖经济技术开发区投资促进三局</w:t>
      </w:r>
    </w:p>
    <w:p>
      <w:pPr>
        <w:spacing w:line="560" w:lineRule="exact"/>
        <w:ind w:firstLine="880" w:firstLineChars="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2015年部门预算编制说明</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一、部门2015年基本职能及主要工作</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（一）贯彻执行国家和省、市、区有关投资促进、招商引资、经济协作等方面的法律、法规和方针政策；</w:t>
      </w:r>
      <w:r>
        <w:rPr>
          <w:rFonts w:hint="eastAsia" w:ascii="仿宋" w:hAnsi="仿宋" w:eastAsia="仿宋" w:cs="Times New Roman"/>
          <w:kern w:val="2"/>
          <w:sz w:val="28"/>
          <w:szCs w:val="28"/>
        </w:rPr>
        <w:t>参与</w:t>
      </w:r>
      <w:r>
        <w:rPr>
          <w:rFonts w:ascii="仿宋" w:hAnsi="仿宋" w:eastAsia="仿宋" w:cs="Times New Roman"/>
          <w:kern w:val="2"/>
          <w:sz w:val="28"/>
          <w:szCs w:val="28"/>
        </w:rPr>
        <w:t>研究拟订</w:t>
      </w:r>
      <w:r>
        <w:rPr>
          <w:rFonts w:hint="eastAsia" w:ascii="仿宋" w:hAnsi="仿宋" w:eastAsia="仿宋" w:cs="Times New Roman"/>
          <w:kern w:val="2"/>
          <w:sz w:val="28"/>
          <w:szCs w:val="28"/>
        </w:rPr>
        <w:t>开发</w:t>
      </w:r>
      <w:r>
        <w:rPr>
          <w:rFonts w:ascii="仿宋" w:hAnsi="仿宋" w:eastAsia="仿宋" w:cs="Times New Roman"/>
          <w:kern w:val="2"/>
          <w:sz w:val="28"/>
          <w:szCs w:val="28"/>
        </w:rPr>
        <w:t>区投资促进、招商引资、经济协作的政策、规定、措施和文件并实施。</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（二）</w:t>
      </w:r>
      <w:r>
        <w:rPr>
          <w:rFonts w:hint="eastAsia" w:ascii="仿宋" w:hAnsi="仿宋" w:eastAsia="仿宋"/>
          <w:sz w:val="28"/>
          <w:szCs w:val="28"/>
        </w:rPr>
        <w:t>会同有关部门做好开发区招商引资年度计划和目标任务分解落实工作，完成本部门负责的内资外资招商引资任务。</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（三）</w:t>
      </w:r>
      <w:r>
        <w:rPr>
          <w:rFonts w:ascii="仿宋" w:hAnsi="仿宋" w:eastAsia="仿宋"/>
          <w:sz w:val="28"/>
          <w:szCs w:val="28"/>
        </w:rPr>
        <w:t>建立并完善招商引资企业信息档案，做好招商引资项目包装及项目服务工作；</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ascii="仿宋" w:hAnsi="仿宋" w:eastAsia="仿宋" w:cs="Times New Roman"/>
          <w:kern w:val="2"/>
          <w:sz w:val="28"/>
          <w:szCs w:val="28"/>
        </w:rPr>
        <w:t>（</w:t>
      </w:r>
      <w:r>
        <w:rPr>
          <w:rFonts w:hint="eastAsia" w:ascii="仿宋" w:hAnsi="仿宋" w:eastAsia="仿宋" w:cs="Times New Roman"/>
          <w:kern w:val="2"/>
          <w:sz w:val="28"/>
          <w:szCs w:val="28"/>
        </w:rPr>
        <w:t>四</w:t>
      </w:r>
      <w:r>
        <w:rPr>
          <w:rFonts w:ascii="仿宋" w:hAnsi="仿宋" w:eastAsia="仿宋" w:cs="Times New Roman"/>
          <w:kern w:val="2"/>
          <w:sz w:val="28"/>
          <w:szCs w:val="28"/>
        </w:rPr>
        <w:t>）组织、筹备负责</w:t>
      </w:r>
      <w:r>
        <w:rPr>
          <w:rFonts w:hint="eastAsia" w:ascii="仿宋" w:hAnsi="仿宋" w:eastAsia="仿宋" w:cs="Times New Roman"/>
          <w:kern w:val="2"/>
          <w:sz w:val="28"/>
          <w:szCs w:val="28"/>
        </w:rPr>
        <w:t>区域内的</w:t>
      </w:r>
      <w:r>
        <w:rPr>
          <w:rFonts w:ascii="仿宋" w:hAnsi="仿宋" w:eastAsia="仿宋" w:cs="Times New Roman"/>
          <w:kern w:val="2"/>
          <w:sz w:val="28"/>
          <w:szCs w:val="28"/>
        </w:rPr>
        <w:t>重大重点投资推介或经贸洽谈、签约、会展等招商引资和经贸交流活动，完成各项工作目标和任务。</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（五）</w:t>
      </w:r>
      <w:r>
        <w:rPr>
          <w:rFonts w:ascii="仿宋" w:hAnsi="仿宋" w:eastAsia="仿宋"/>
          <w:sz w:val="28"/>
          <w:szCs w:val="28"/>
        </w:rPr>
        <w:t>加强同省直相关部门、驻滇商会、行业协会、企业、等组织的联系，做好对外联络工作，</w:t>
      </w:r>
      <w:r>
        <w:rPr>
          <w:rFonts w:hint="eastAsia" w:ascii="仿宋" w:hAnsi="仿宋" w:eastAsia="仿宋"/>
          <w:sz w:val="28"/>
          <w:szCs w:val="28"/>
        </w:rPr>
        <w:t>牵头</w:t>
      </w:r>
      <w:r>
        <w:rPr>
          <w:rFonts w:ascii="仿宋" w:hAnsi="仿宋" w:eastAsia="仿宋"/>
          <w:sz w:val="28"/>
          <w:szCs w:val="28"/>
        </w:rPr>
        <w:t>做好资金争取工作</w:t>
      </w:r>
      <w:r>
        <w:rPr>
          <w:rFonts w:hint="eastAsia" w:ascii="仿宋" w:hAnsi="仿宋" w:eastAsia="仿宋"/>
          <w:sz w:val="28"/>
          <w:szCs w:val="28"/>
        </w:rPr>
        <w:t>。</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（六）搜集、掌握、分析和研究国内外招商引资工作动态，为管委会决策提供信息和依据。</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（七）做好开发区</w:t>
      </w:r>
      <w:r>
        <w:rPr>
          <w:rFonts w:ascii="仿宋" w:hAnsi="仿宋" w:eastAsia="仿宋" w:cs="Times New Roman"/>
          <w:kern w:val="2"/>
          <w:sz w:val="28"/>
          <w:szCs w:val="28"/>
        </w:rPr>
        <w:t>对外开放和投资促进的</w:t>
      </w:r>
      <w:r>
        <w:rPr>
          <w:rFonts w:hint="eastAsia" w:ascii="仿宋" w:hAnsi="仿宋" w:eastAsia="仿宋" w:cs="Times New Roman"/>
          <w:kern w:val="2"/>
          <w:sz w:val="28"/>
          <w:szCs w:val="28"/>
        </w:rPr>
        <w:t>推介</w:t>
      </w:r>
      <w:r>
        <w:rPr>
          <w:rFonts w:ascii="仿宋" w:hAnsi="仿宋" w:eastAsia="仿宋" w:cs="Times New Roman"/>
          <w:kern w:val="2"/>
          <w:sz w:val="28"/>
          <w:szCs w:val="28"/>
        </w:rPr>
        <w:t>工作</w:t>
      </w:r>
      <w:r>
        <w:rPr>
          <w:rFonts w:hint="eastAsia" w:ascii="仿宋" w:hAnsi="仿宋" w:eastAsia="仿宋" w:cs="Times New Roman"/>
          <w:kern w:val="2"/>
          <w:sz w:val="28"/>
          <w:szCs w:val="28"/>
        </w:rPr>
        <w:t>，做好</w:t>
      </w:r>
      <w:r>
        <w:rPr>
          <w:rFonts w:ascii="仿宋" w:hAnsi="仿宋" w:eastAsia="仿宋" w:cs="Times New Roman"/>
          <w:kern w:val="2"/>
          <w:sz w:val="28"/>
          <w:szCs w:val="28"/>
        </w:rPr>
        <w:t>投资促进（招商引资）干部队伍</w:t>
      </w:r>
      <w:r>
        <w:rPr>
          <w:rFonts w:hint="eastAsia" w:ascii="仿宋" w:hAnsi="仿宋" w:eastAsia="仿宋" w:cs="Times New Roman"/>
          <w:kern w:val="2"/>
          <w:sz w:val="28"/>
          <w:szCs w:val="28"/>
        </w:rPr>
        <w:t>建设</w:t>
      </w:r>
      <w:r>
        <w:rPr>
          <w:rFonts w:ascii="仿宋" w:hAnsi="仿宋" w:eastAsia="仿宋" w:cs="Times New Roman"/>
          <w:kern w:val="2"/>
          <w:sz w:val="28"/>
          <w:szCs w:val="28"/>
        </w:rPr>
        <w:t xml:space="preserve">； </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（八）承办开发区党工委、管委会和上级业务部门交办的其他事项。</w:t>
      </w:r>
    </w:p>
    <w:p>
      <w:pPr>
        <w:pStyle w:val="4"/>
        <w:spacing w:before="0" w:beforeAutospacing="0" w:after="0" w:afterAutospacing="0" w:line="560" w:lineRule="exact"/>
        <w:jc w:val="both"/>
        <w:rPr>
          <w:rFonts w:ascii="仿宋" w:hAnsi="仿宋" w:eastAsia="仿宋" w:cs="仿宋"/>
          <w:kern w:val="2"/>
          <w:sz w:val="28"/>
          <w:szCs w:val="28"/>
        </w:rPr>
      </w:pPr>
      <w:r>
        <w:rPr>
          <w:rFonts w:hint="eastAsia" w:ascii="黑体" w:hAnsi="黑体" w:eastAsia="黑体" w:cs="黑体"/>
          <w:kern w:val="2"/>
          <w:sz w:val="28"/>
          <w:szCs w:val="28"/>
        </w:rPr>
        <w:t xml:space="preserve">     二、部门基本情况</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部门在职实有人数5人，其中：在职在编人员1人，聘用人员4人，实有车辆1辆。</w:t>
      </w:r>
    </w:p>
    <w:p>
      <w:pPr>
        <w:pStyle w:val="4"/>
        <w:spacing w:before="0" w:beforeAutospacing="0" w:after="0" w:afterAutospacing="0" w:line="560" w:lineRule="exact"/>
        <w:ind w:firstLine="560" w:firstLineChars="200"/>
        <w:jc w:val="both"/>
        <w:rPr>
          <w:rFonts w:ascii="黑体" w:hAnsi="黑体" w:eastAsia="黑体" w:cs="黑体"/>
          <w:kern w:val="2"/>
          <w:sz w:val="28"/>
          <w:szCs w:val="28"/>
        </w:rPr>
      </w:pPr>
      <w:r>
        <w:rPr>
          <w:rFonts w:hint="eastAsia" w:ascii="仿宋" w:hAnsi="仿宋" w:eastAsia="仿宋" w:cs="Times New Roman"/>
          <w:kern w:val="2"/>
          <w:sz w:val="28"/>
          <w:szCs w:val="28"/>
        </w:rPr>
        <w:t> </w:t>
      </w:r>
      <w:r>
        <w:rPr>
          <w:rFonts w:hint="eastAsia" w:ascii="黑体" w:hAnsi="黑体" w:eastAsia="黑体" w:cs="黑体"/>
          <w:kern w:val="2"/>
          <w:sz w:val="28"/>
          <w:szCs w:val="28"/>
        </w:rPr>
        <w:t>三、2015年部门预算收支情况</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2015年部门预算总收入31万元。</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部门预算总支出31万元，其中：项目支出4万元，占总支出的13％；基本支出27万元，占总支出的87％，按支出功能科目分类，支出分别列：</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“2011302款— 一般行政管理”支出4万元。主要是业务经费。</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“2011301款— 行政运行”支出27万元，主要是人员经费21万元，定额公用经费1万元，部门接待费2万元，车辆养护费3万元</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w:t>
      </w:r>
      <w:r>
        <w:fldChar w:fldCharType="begin"/>
      </w:r>
      <w:r>
        <w:instrText xml:space="preserve"> HYPERLINK "http://www.qjkfq.net/UpLoad/ckfinder/files/%E8%B4%A2%E6%94%BF%E5%B1%80%E9%A2%84%E7%AE%97%E4%BF%A1%E6%81%AF%E5%85%AC%E5%BC%80%E8%A1%A8%E6%A0%BC.XLS" </w:instrText>
      </w:r>
      <w:r>
        <w:fldChar w:fldCharType="separate"/>
      </w:r>
      <w:r>
        <w:rPr>
          <w:rFonts w:hint="eastAsia" w:ascii="仿宋" w:hAnsi="仿宋" w:eastAsia="仿宋" w:cs="Times New Roman"/>
          <w:kern w:val="2"/>
          <w:sz w:val="28"/>
          <w:szCs w:val="28"/>
        </w:rPr>
        <w:t> 四、2015年部门预算表格（详见附件）</w:t>
      </w:r>
      <w:r>
        <w:rPr>
          <w:rFonts w:hint="eastAsia" w:ascii="仿宋" w:hAnsi="仿宋" w:eastAsia="仿宋" w:cs="Times New Roman"/>
          <w:kern w:val="2"/>
          <w:sz w:val="28"/>
          <w:szCs w:val="28"/>
        </w:rPr>
        <w:fldChar w:fldCharType="end"/>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附件1、2015年收入支出预算总表</w:t>
      </w:r>
      <w:bookmarkStart w:id="0" w:name="_GoBack"/>
      <w:bookmarkEnd w:id="0"/>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2、2015年公共预算收支表</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3、2015年“三公”经费预算表</w:t>
      </w:r>
    </w:p>
    <w:p>
      <w:pPr>
        <w:pStyle w:val="4"/>
        <w:spacing w:before="0" w:beforeAutospacing="0" w:after="0" w:afterAutospacing="0" w:line="560" w:lineRule="exact"/>
        <w:ind w:firstLine="560" w:firstLineChars="200"/>
        <w:jc w:val="both"/>
        <w:rPr>
          <w:rFonts w:ascii="仿宋" w:hAnsi="仿宋" w:eastAsia="仿宋" w:cs="Times New Roman"/>
          <w:kern w:val="2"/>
          <w:sz w:val="28"/>
          <w:szCs w:val="28"/>
        </w:rPr>
      </w:pPr>
      <w:r>
        <w:rPr>
          <w:rFonts w:hint="eastAsia" w:ascii="仿宋" w:hAnsi="仿宋" w:eastAsia="仿宋" w:cs="Times New Roman"/>
          <w:kern w:val="2"/>
          <w:sz w:val="28"/>
          <w:szCs w:val="28"/>
        </w:rPr>
        <w:t> </w:t>
      </w:r>
    </w:p>
    <w:p>
      <w:pPr>
        <w:pStyle w:val="4"/>
        <w:shd w:val="clear" w:color="auto" w:fill="FFFFFF"/>
        <w:spacing w:before="0" w:beforeAutospacing="0" w:after="0" w:afterAutospacing="0" w:line="450" w:lineRule="atLeast"/>
        <w:rPr>
          <w:rFonts w:ascii="Arial" w:hAnsi="Arial" w:cs="Arial"/>
          <w:color w:val="000000"/>
          <w:sz w:val="18"/>
          <w:szCs w:val="18"/>
        </w:rPr>
      </w:pPr>
      <w:r>
        <w:rPr>
          <w:rFonts w:ascii="Arial" w:hAnsi="Arial" w:cs="Arial"/>
          <w:color w:val="000000"/>
          <w:sz w:val="18"/>
          <w:szCs w:val="18"/>
          <w:shd w:val="clear" w:color="auto" w:fill="FFFFFF"/>
        </w:rPr>
        <w:t> </w:t>
      </w:r>
    </w:p>
    <w:p>
      <w:pPr>
        <w:spacing w:line="500" w:lineRule="exact"/>
        <w:ind w:firstLine="360" w:firstLineChars="200"/>
        <w:rPr>
          <w:rFonts w:ascii="仿宋" w:hAnsi="仿宋" w:eastAsia="仿宋"/>
          <w:sz w:val="28"/>
          <w:szCs w:val="28"/>
        </w:rPr>
      </w:pPr>
      <w:r>
        <w:rPr>
          <w:rFonts w:ascii="Arial" w:hAnsi="Arial" w:cs="Arial"/>
          <w:color w:val="000000"/>
          <w:sz w:val="18"/>
          <w:szCs w:val="18"/>
          <w:shd w:val="clear" w:color="auto" w:fill="FFFFFF"/>
        </w:rPr>
        <w:t>                              </w:t>
      </w:r>
      <w:r>
        <w:rPr>
          <w:rFonts w:hint="eastAsia"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                 </w:t>
      </w:r>
      <w:r>
        <w:rPr>
          <w:rFonts w:hint="eastAsia" w:ascii="Arial" w:hAnsi="Arial" w:cs="Arial"/>
          <w:color w:val="000000"/>
          <w:sz w:val="18"/>
          <w:szCs w:val="18"/>
          <w:shd w:val="clear" w:color="auto" w:fill="FFFFFF"/>
        </w:rPr>
        <w:t xml:space="preserve">           </w:t>
      </w:r>
      <w:r>
        <w:rPr>
          <w:rFonts w:ascii="Arial" w:hAnsi="Arial" w:cs="Arial"/>
          <w:color w:val="000000"/>
          <w:sz w:val="18"/>
          <w:szCs w:val="18"/>
          <w:shd w:val="clear" w:color="auto" w:fill="FFFFFF"/>
        </w:rPr>
        <w:t xml:space="preserve">          </w:t>
      </w:r>
      <w:r>
        <w:rPr>
          <w:rFonts w:hint="eastAsia" w:ascii="Arial" w:hAnsi="Arial" w:cs="Arial"/>
          <w:color w:val="000000"/>
          <w:sz w:val="18"/>
          <w:szCs w:val="18"/>
          <w:shd w:val="clear" w:color="auto" w:fill="FFFFFF"/>
        </w:rPr>
        <w:t xml:space="preserve">           </w:t>
      </w:r>
      <w:r>
        <w:rPr>
          <w:rFonts w:hint="eastAsia" w:ascii="仿宋" w:hAnsi="仿宋" w:eastAsia="仿宋"/>
          <w:sz w:val="28"/>
          <w:szCs w:val="28"/>
        </w:rPr>
        <w:t xml:space="preserve">                               2015年4月16日</w:t>
      </w:r>
    </w:p>
    <w:sectPr>
      <w:pgSz w:w="11906" w:h="16838"/>
      <w:pgMar w:top="567" w:right="1701" w:bottom="56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GQxMDM5NzQxYjlkZDRkMmViZjNmN2M4NDViYWIifQ=="/>
  </w:docVars>
  <w:rsids>
    <w:rsidRoot w:val="00B14B6B"/>
    <w:rsid w:val="0002010E"/>
    <w:rsid w:val="000C2C45"/>
    <w:rsid w:val="000E528F"/>
    <w:rsid w:val="003E6544"/>
    <w:rsid w:val="006B3D58"/>
    <w:rsid w:val="00784A37"/>
    <w:rsid w:val="007E2A57"/>
    <w:rsid w:val="0080277B"/>
    <w:rsid w:val="00805BF9"/>
    <w:rsid w:val="00830E41"/>
    <w:rsid w:val="00842B68"/>
    <w:rsid w:val="009836C3"/>
    <w:rsid w:val="009F0C09"/>
    <w:rsid w:val="00AD701D"/>
    <w:rsid w:val="00B14B6B"/>
    <w:rsid w:val="00D4513A"/>
    <w:rsid w:val="00F3623A"/>
    <w:rsid w:val="091D26B5"/>
    <w:rsid w:val="14576EEE"/>
    <w:rsid w:val="250671CD"/>
    <w:rsid w:val="27D20796"/>
    <w:rsid w:val="42A07253"/>
    <w:rsid w:val="4D221D9C"/>
    <w:rsid w:val="5910752F"/>
    <w:rsid w:val="776C16F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line="384" w:lineRule="auto"/>
      <w:jc w:val="left"/>
    </w:pPr>
    <w:rPr>
      <w:rFonts w:ascii="ˎ̥" w:hAnsi="ˎ̥" w:cs="宋体"/>
      <w:kern w:val="0"/>
      <w:szCs w:val="21"/>
    </w:rPr>
  </w:style>
  <w:style w:type="character" w:styleId="7">
    <w:name w:val="Hyperlink"/>
    <w:basedOn w:val="6"/>
    <w:unhideWhenUsed/>
    <w:uiPriority w:val="99"/>
    <w:rPr>
      <w:color w:val="0000FF"/>
      <w:u w:val="single"/>
    </w:rPr>
  </w:style>
  <w:style w:type="character" w:customStyle="1" w:styleId="8">
    <w:name w:val="页眉 Char"/>
    <w:basedOn w:val="6"/>
    <w:link w:val="3"/>
    <w:semiHidden/>
    <w:uiPriority w:val="0"/>
    <w:rPr>
      <w:rFonts w:ascii="Calibri" w:hAnsi="Calibri"/>
      <w:kern w:val="2"/>
      <w:sz w:val="18"/>
      <w:szCs w:val="18"/>
    </w:rPr>
  </w:style>
  <w:style w:type="character" w:customStyle="1" w:styleId="9">
    <w:name w:val="页脚 Char"/>
    <w:basedOn w:val="6"/>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167</Words>
  <Characters>954</Characters>
  <Lines>7</Lines>
  <Paragraphs>2</Paragraphs>
  <TotalTime>1</TotalTime>
  <ScaleCrop>false</ScaleCrop>
  <LinksUpToDate>false</LinksUpToDate>
  <CharactersWithSpaces>1119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2015-01-30T07:49:00Z</dcterms:created>
  <dc:creator>lenovo</dc:creator>
  <cp:lastModifiedBy>Administrator</cp:lastModifiedBy>
  <cp:lastPrinted>2015-04-16T07:08:00Z</cp:lastPrinted>
  <dcterms:modified xsi:type="dcterms:W3CDTF">2024-03-20T08:41:14Z</dcterms:modified>
  <dc:title>曲靖经济技术开发区投资促进三局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FFAEE2ADB7B84B67A6605DFC80D1DF48_13</vt:lpwstr>
  </property>
</Properties>
</file>