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right="641" w:firstLine="2720" w:firstLineChars="85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right="641" w:firstLine="2720" w:firstLineChars="85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right="641" w:firstLine="2720" w:firstLineChars="85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right="641" w:firstLine="2720" w:firstLineChars="85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right="641" w:firstLine="2720" w:firstLineChars="8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曲开环审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曲靖经济技术开发区环境保护局关于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曲靖市德方纳米科技有限公司年产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11万吨新型磷酸盐系正极材料生产基地项目220KV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输变电工程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环境影响报告表的批复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曲靖市德方纳米科技有限公司：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你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公司申请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批的《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曲靖市德方纳米科技有限公司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年产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11万吨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新型磷酸盐系正极材料生产基地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项目220KV输变电工程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环境影响报告表》（以下简称《报告表》）收悉，经专家技术评估和我局研究，现批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该项目建设地点位于曲靖经济技术开发区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西城片区（变电站中心地理坐标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经度103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'1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5.705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"，纬度25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'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9.966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"；输变电线路起点地理坐标经度103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'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12.991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"，纬度25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°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'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53.795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"，终点地理坐标经度103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'1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1.602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"，纬度25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'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16.622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"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）；该项目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拟投资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8550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万元，其中环保投资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116.2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</w:t>
      </w:r>
      <w:bookmarkStart w:id="0" w:name="OLE_LINK3"/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建设性质为新建项目</w:t>
      </w:r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。项目主要建设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内容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建设220kV变电站1座，采用室外布置，本期主变规模为2×1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MVA，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终期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主变规模为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×1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MVA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+2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×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63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MVA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220kV输电线路本期出线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回、终期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回；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项目输电线路总长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2.519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km(双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回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架设)，共用杆塔总数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基（其中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沿用已建双回路钢管杆3基，新建双回路杆塔10基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根据《报告表》评价结论，项目符合国家产</w:t>
      </w:r>
      <w:bookmarkStart w:id="1" w:name="_GoBack"/>
      <w:bookmarkEnd w:id="1"/>
      <w:r>
        <w:rPr>
          <w:rFonts w:hint="eastAsia" w:ascii="Times New Roman" w:hAnsi="Times New Roman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业政策，变电站及输电线路不涉及依法设立的自然保护区、风景名胜区、森林公园、地质公园、集中式饮用水水源保护区等环境敏感区，输电线路不涉及基本农田，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路径选址走向已经取得经开区相关部门的同意。在全面落实《报告表》提出的各项生态保护和污染防治措施的前提下，项目建设对环境的不利影响可以降低或得到有效控制，我局原则同意你公司按《报告表》中所列建设项目的性质、规模、内容、地点、线路和拟采取的环境保护措施建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二、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在项目工程设计、建设及环境管理中必须严格执行环境保护“三同时”制度，认真落实《报告表》中提出的各项污染防治对策措施，并着重做好以下工作：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（一）加强施工期环境管理工作，落实各项生态环境保护和污染防治措施。尽量减少施工占地和植被破坏，减轻项目建设对生态环境的影响；妥善处理施工过程中产生的各类固体废弃物，减轻甚至避免其对环境造成的影响；合理安排施工时间，采取有效措施使得建筑施工噪声符合《建筑施工场界噪声环境噪声排放标准》（GB12523-2011）要求；施工结束后及时对临时施工用地、塔基及其边坡进行生态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进一步优化设计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，落实项目变电站、输电线路的电磁辐射防护措施，合理设置输电线对地高度，合理布置主变等设备，保证线路及变电站厂界电场强度、磁感应强度满足《电磁环境控制限值》（GB 8702-2014）中频率为50Hz时的要求（电场强度限值4kV/m，磁感应强度限值0.1mT）。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）落实噪声污染防治措施，确保变电站场界噪声达到《工业企业厂界环境噪声排放标准》(GB12348-2008)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3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类标准。严格控制输变电线路与保护目标的距离，减小噪声对保护目标的影响。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</w:t>
      </w:r>
      <w:r>
        <w:rPr>
          <w:rFonts w:hint="eastAsia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）加强运行期的环境管理工作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定期对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变电站及其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线路开展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巡查及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环境监测，对发现的环境问题及时解决；根据《火力发电厂与变电站设计防火规范》（GB 50229-2019）要求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合理设置事故油池，并严格按照《危险废物贮存污染控制标准》（GB18597-2001）建设事故油池、集油坑、危废暂存间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加强运行维护管理，确保主变压器发生事故时，事故废油可全部进入事故油池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事故废油和废旧蓄电池经分类收集后暂存于危废暂存间，并及时交由有资质单位处置，其收集、暂存及转运过程中的管理应严格按照《危险废物贮存污染控制标准》（GB 18597-2001）《危险废物转移联单管理办法》（国家环境保护总局令 第5号）进行管理，并做好台账记录。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强化电磁辐射环境保护宣传工作，使公众科学认识工频电磁场的环境影响。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）请你公司在项目建成后及时向经开区规划、国土等相关部门报告，确保在电磁环境达标控制区内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确保在规划范围内不得新建住房、厂房等构筑物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项目建成后，你单位应按照《建设项目竣工环境保护验收暂行办法》(国环规环评〔2017〕4号)相关要求完成竣工环境保护自主验收。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、本批复自下达之日起5年内有效。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《报告表》经批准后，如工程的性质、规模、线路、地点或者防治污染、防止生态破坏的措施发生重大变动的，你单位应当重新报批环境影响评价文件，否则不得实施建设。自《报告表》批准之日起，如超过5年项目方开工建设的，《报告表》应当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曲靖经济技术开发区环境保护局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32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383530" cy="152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3530" cy="1524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4pt;height:1.2pt;width:423.9pt;z-index:251662336;mso-width-relative:page;mso-height-relative:page;" filled="f" stroked="t" coordsize="21600,21600" o:gfxdata="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TdCGA0wAAAAUBAAAPAAAAAAAAAAEAIAAAACIAAABkcnMvZG93bnJldi54bWxQSwEC&#10;FAAUAAAACACHTuJA/vu/YfkBAADpAwAADgAAAAAAAAABACAAAAAi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抄送：经开区经济发展局；企业服务局；应急管理局；云南巽通环保科技有限公司。</w:t>
      </w:r>
    </w:p>
    <w:p>
      <w:pPr>
        <w:pStyle w:val="4"/>
        <w:jc w:val="both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局内抄送：监察大队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24130</wp:posOffset>
                </wp:positionV>
                <wp:extent cx="5379720" cy="12700"/>
                <wp:effectExtent l="0" t="6350" r="1143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72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1.9pt;height:1pt;width:423.6pt;z-index:251661312;mso-width-relative:page;mso-height-relative:page;" filled="f" stroked="t" coordsize="21600,21600" o:gfxdata="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QRNC9YAAAAGAQAADwAAAAAAAAABACAAAAAiAAAAZHJzL2Rvd25yZXYueG1sUEsB&#10;AhQAFAAAAAgAh07iQCV1dTT3AQAA6QMAAA4AAAAAAAAAAQAgAAAAJQ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408930" cy="254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8930" cy="254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.2pt;width:425.9pt;z-index:251660288;mso-width-relative:page;mso-height-relative:page;" filled="f" stroked="t" coordsize="21600,21600" o:gfxdata="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4SpMF0wAAAAYBAAAPAAAAAAAAAAEAIAAAACIAAABkcnMvZG93bnJldi54bWxQSwECFAAU&#10;AAAACACHTuJAqQ3uyPYBAADoAwAADgAAAAAAAAABACAAAAAi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曲靖经济技术开发区环境保护局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综合科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20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日印制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OTM4NDFmNmViOTlkNDE0MTMxNjk3M2QxNjhiOGIifQ=="/>
  </w:docVars>
  <w:rsids>
    <w:rsidRoot w:val="00000000"/>
    <w:rsid w:val="034443F1"/>
    <w:rsid w:val="09E44AAB"/>
    <w:rsid w:val="12DB4D5B"/>
    <w:rsid w:val="137A009C"/>
    <w:rsid w:val="17C41E76"/>
    <w:rsid w:val="1A5E1F50"/>
    <w:rsid w:val="1DEF5C89"/>
    <w:rsid w:val="2D736C6D"/>
    <w:rsid w:val="2FCC630C"/>
    <w:rsid w:val="3A781C3A"/>
    <w:rsid w:val="3AEC01CF"/>
    <w:rsid w:val="3F6376E7"/>
    <w:rsid w:val="43C639D7"/>
    <w:rsid w:val="46D30835"/>
    <w:rsid w:val="483F5F15"/>
    <w:rsid w:val="557648AE"/>
    <w:rsid w:val="60545ED4"/>
    <w:rsid w:val="699024A8"/>
    <w:rsid w:val="6AA84736"/>
    <w:rsid w:val="772C7B85"/>
    <w:rsid w:val="7E88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line="440" w:lineRule="atLeast"/>
      <w:jc w:val="left"/>
      <w:outlineLvl w:val="0"/>
    </w:pPr>
    <w:rPr>
      <w:rFonts w:ascii="宋体" w:hAnsi="Arial"/>
      <w:b/>
      <w:sz w:val="24"/>
      <w:szCs w:val="20"/>
    </w:rPr>
  </w:style>
  <w:style w:type="paragraph" w:styleId="4">
    <w:name w:val="caption"/>
    <w:basedOn w:val="1"/>
    <w:next w:val="1"/>
    <w:qFormat/>
    <w:uiPriority w:val="0"/>
    <w:rPr>
      <w:rFonts w:ascii="Cambria" w:hAnsi="Cambria" w:eastAsia="黑体"/>
      <w:spacing w:val="0"/>
      <w:kern w:val="2"/>
      <w:sz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1727</Words>
  <Characters>1941</Characters>
  <Lines>0</Lines>
  <Paragraphs>0</Paragraphs>
  <TotalTime>915</TotalTime>
  <ScaleCrop>false</ScaleCrop>
  <LinksUpToDate>false</LinksUpToDate>
  <CharactersWithSpaces>2009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愚</cp:lastModifiedBy>
  <cp:lastPrinted>2022-06-13T06:45:00Z</cp:lastPrinted>
  <dcterms:modified xsi:type="dcterms:W3CDTF">2022-07-05T01:37:13Z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9FCC47F1BF0B42D39E08F12E8C708881</vt:lpwstr>
  </property>
</Properties>
</file>